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BB04A" w14:textId="3989E12C" w:rsidR="00A16979" w:rsidRPr="002822D7" w:rsidRDefault="007C4D31" w:rsidP="0004228E">
      <w:pPr>
        <w:pStyle w:val="Header"/>
        <w:tabs>
          <w:tab w:val="clear" w:pos="4320"/>
          <w:tab w:val="clear" w:pos="8640"/>
        </w:tabs>
        <w:rPr>
          <w:rFonts w:cs="Times New Roman"/>
          <w:b/>
        </w:rPr>
      </w:pPr>
      <w:r w:rsidRPr="002822D7">
        <w:rPr>
          <w:rFonts w:cs="Times New Roman"/>
          <w:b/>
        </w:rPr>
        <w:t xml:space="preserve">Section 1: </w:t>
      </w:r>
      <w:r w:rsidR="00A16979" w:rsidRPr="002822D7">
        <w:rPr>
          <w:rFonts w:cs="Times New Roman"/>
          <w:b/>
        </w:rPr>
        <w:t>Child Population Projections</w:t>
      </w:r>
    </w:p>
    <w:p w14:paraId="26A6EB97" w14:textId="77777777" w:rsidR="00A16979" w:rsidRPr="002822D7" w:rsidRDefault="00A16979" w:rsidP="00A16979">
      <w:pPr>
        <w:pStyle w:val="Header"/>
        <w:tabs>
          <w:tab w:val="clear" w:pos="4320"/>
          <w:tab w:val="clear" w:pos="8640"/>
        </w:tabs>
        <w:rPr>
          <w:rFonts w:cs="Times New Roman"/>
          <w:b/>
        </w:rPr>
      </w:pPr>
    </w:p>
    <w:p w14:paraId="18CF0AFD" w14:textId="44524861" w:rsidR="003132ED" w:rsidRPr="00B511D4" w:rsidRDefault="003132ED" w:rsidP="00A16979">
      <w:pPr>
        <w:rPr>
          <w:b/>
          <w:bCs/>
        </w:rPr>
      </w:pPr>
      <w:r w:rsidRPr="00B511D4">
        <w:rPr>
          <w:b/>
          <w:bCs/>
        </w:rPr>
        <w:t>ONS Mid-Year Estimates</w:t>
      </w:r>
      <w:r w:rsidR="00FC2A9D" w:rsidRPr="00B511D4">
        <w:rPr>
          <w:b/>
          <w:bCs/>
        </w:rPr>
        <w:t xml:space="preserve"> (MYE)</w:t>
      </w:r>
    </w:p>
    <w:p w14:paraId="26C4412E" w14:textId="7E868101" w:rsidR="003132ED" w:rsidRPr="00B511D4" w:rsidRDefault="00FC2A9D" w:rsidP="00A16979">
      <w:pPr>
        <w:rPr>
          <w:lang w:val="en"/>
        </w:rPr>
      </w:pPr>
      <w:r w:rsidRPr="00B511D4">
        <w:rPr>
          <w:lang w:val="en"/>
        </w:rPr>
        <w:t>Mid-year population estimates relate to the usually resident population. They account for long-term international migrants (people who change their country of usual residence for a period of 12 months or more) but do not account for short-term migrants (people who come to or leave the country for a period of less than 12 months).</w:t>
      </w:r>
    </w:p>
    <w:p w14:paraId="0A5C22CE" w14:textId="77777777" w:rsidR="00FC2A9D" w:rsidRPr="00B511D4" w:rsidRDefault="00FC2A9D" w:rsidP="00A16979">
      <w:pPr>
        <w:rPr>
          <w:lang w:val="en"/>
        </w:rPr>
      </w:pPr>
    </w:p>
    <w:p w14:paraId="0BAFDCA8" w14:textId="2CE216AA" w:rsidR="00FC2A9D" w:rsidRPr="00B511D4" w:rsidRDefault="00FC2A9D" w:rsidP="00A16979">
      <w:pPr>
        <w:rPr>
          <w:b/>
          <w:bCs/>
        </w:rPr>
      </w:pPr>
      <w:r w:rsidRPr="00B511D4">
        <w:rPr>
          <w:b/>
          <w:lang w:val="en"/>
        </w:rPr>
        <w:t>Harrow’s 20</w:t>
      </w:r>
      <w:r w:rsidR="0065779B" w:rsidRPr="00B511D4">
        <w:rPr>
          <w:b/>
          <w:lang w:val="en"/>
        </w:rPr>
        <w:t>2</w:t>
      </w:r>
      <w:r w:rsidR="00766F75" w:rsidRPr="00B511D4">
        <w:rPr>
          <w:b/>
          <w:lang w:val="en"/>
        </w:rPr>
        <w:t>1</w:t>
      </w:r>
      <w:r w:rsidRPr="00B511D4">
        <w:rPr>
          <w:b/>
          <w:lang w:val="en"/>
        </w:rPr>
        <w:t>-MYE</w:t>
      </w:r>
    </w:p>
    <w:p w14:paraId="59E54B73" w14:textId="5C88DBE9" w:rsidR="003132ED" w:rsidRPr="00B511D4" w:rsidRDefault="0026140F" w:rsidP="00A16979">
      <w:pPr>
        <w:rPr>
          <w:bCs/>
        </w:rPr>
      </w:pPr>
      <w:r w:rsidRPr="00B511D4">
        <w:rPr>
          <w:bCs/>
        </w:rPr>
        <w:t>According to the 20</w:t>
      </w:r>
      <w:r w:rsidR="0065779B" w:rsidRPr="00B511D4">
        <w:rPr>
          <w:bCs/>
        </w:rPr>
        <w:t>2</w:t>
      </w:r>
      <w:r w:rsidR="00766F75" w:rsidRPr="00B511D4">
        <w:rPr>
          <w:bCs/>
        </w:rPr>
        <w:t>1</w:t>
      </w:r>
      <w:r w:rsidRPr="00B511D4">
        <w:rPr>
          <w:bCs/>
        </w:rPr>
        <w:t>-MYE</w:t>
      </w:r>
      <w:r w:rsidR="00FB7EAE" w:rsidRPr="00B511D4">
        <w:rPr>
          <w:bCs/>
        </w:rPr>
        <w:t>,</w:t>
      </w:r>
      <w:r w:rsidRPr="00B511D4">
        <w:rPr>
          <w:bCs/>
        </w:rPr>
        <w:t xml:space="preserve"> Harrow’s </w:t>
      </w:r>
      <w:r w:rsidR="00FB7EAE" w:rsidRPr="00B511D4">
        <w:rPr>
          <w:bCs/>
        </w:rPr>
        <w:t xml:space="preserve">children and young people, age 11 to 25, </w:t>
      </w:r>
      <w:r w:rsidRPr="00B511D4">
        <w:rPr>
          <w:bCs/>
        </w:rPr>
        <w:t>are estimated to have increased from 20</w:t>
      </w:r>
      <w:r w:rsidR="00FB7EAE" w:rsidRPr="00B511D4">
        <w:rPr>
          <w:bCs/>
        </w:rPr>
        <w:t>20</w:t>
      </w:r>
      <w:r w:rsidRPr="00B511D4">
        <w:rPr>
          <w:bCs/>
        </w:rPr>
        <w:t xml:space="preserve"> to 20</w:t>
      </w:r>
      <w:r w:rsidR="00095EF0" w:rsidRPr="00B511D4">
        <w:rPr>
          <w:bCs/>
        </w:rPr>
        <w:t>2</w:t>
      </w:r>
      <w:r w:rsidR="00FB7EAE" w:rsidRPr="00B511D4">
        <w:rPr>
          <w:bCs/>
        </w:rPr>
        <w:t>1</w:t>
      </w:r>
      <w:r w:rsidRPr="00B511D4">
        <w:rPr>
          <w:bCs/>
        </w:rPr>
        <w:t xml:space="preserve">, </w:t>
      </w:r>
      <w:r w:rsidR="002B117A" w:rsidRPr="00B511D4">
        <w:rPr>
          <w:bCs/>
        </w:rPr>
        <w:t xml:space="preserve">whilst the pre-school </w:t>
      </w:r>
      <w:r w:rsidR="00FB7EAE" w:rsidRPr="00B511D4">
        <w:rPr>
          <w:bCs/>
        </w:rPr>
        <w:t xml:space="preserve">(age 0-4) </w:t>
      </w:r>
      <w:r w:rsidR="002B117A" w:rsidRPr="00B511D4">
        <w:rPr>
          <w:bCs/>
        </w:rPr>
        <w:t xml:space="preserve">and </w:t>
      </w:r>
      <w:r w:rsidR="00FB7EAE" w:rsidRPr="00B511D4">
        <w:rPr>
          <w:bCs/>
        </w:rPr>
        <w:t xml:space="preserve">primary </w:t>
      </w:r>
      <w:r w:rsidR="002B117A" w:rsidRPr="00B511D4">
        <w:rPr>
          <w:bCs/>
        </w:rPr>
        <w:t xml:space="preserve">school </w:t>
      </w:r>
      <w:r w:rsidR="00FB7EAE" w:rsidRPr="00B511D4">
        <w:rPr>
          <w:bCs/>
        </w:rPr>
        <w:t xml:space="preserve">age (age 5 to 10) </w:t>
      </w:r>
      <w:r w:rsidR="002B117A" w:rsidRPr="00B511D4">
        <w:rPr>
          <w:bCs/>
        </w:rPr>
        <w:t xml:space="preserve">numbers have decreased, as can be seen in the </w:t>
      </w:r>
      <w:r w:rsidR="00BE7687">
        <w:rPr>
          <w:bCs/>
        </w:rPr>
        <w:t>T</w:t>
      </w:r>
      <w:r w:rsidR="002B117A" w:rsidRPr="00B511D4">
        <w:rPr>
          <w:bCs/>
        </w:rPr>
        <w:t xml:space="preserve">able </w:t>
      </w:r>
      <w:r w:rsidR="00BE7687">
        <w:rPr>
          <w:bCs/>
        </w:rPr>
        <w:t xml:space="preserve">1 </w:t>
      </w:r>
      <w:r w:rsidR="002B117A" w:rsidRPr="00B511D4">
        <w:rPr>
          <w:bCs/>
        </w:rPr>
        <w:t>below.</w:t>
      </w:r>
    </w:p>
    <w:p w14:paraId="51CADF89" w14:textId="02034101" w:rsidR="008E47B1" w:rsidRDefault="008E47B1" w:rsidP="00A16979">
      <w:pPr>
        <w:rPr>
          <w:bCs/>
        </w:rPr>
      </w:pPr>
    </w:p>
    <w:p w14:paraId="51E168D4" w14:textId="1CA95A34" w:rsidR="00C40020" w:rsidRPr="00B511D4" w:rsidRDefault="00C40020" w:rsidP="00A16979">
      <w:pPr>
        <w:rPr>
          <w:bCs/>
        </w:rPr>
      </w:pPr>
      <w:r>
        <w:rPr>
          <w:bCs/>
        </w:rPr>
        <w:t>Table 1: ONS 2020 &amp; 2021 MYE by Age Groups</w:t>
      </w:r>
    </w:p>
    <w:tbl>
      <w:tblPr>
        <w:tblW w:w="6421" w:type="dxa"/>
        <w:tblInd w:w="93" w:type="dxa"/>
        <w:tblLook w:val="04A0" w:firstRow="1" w:lastRow="0" w:firstColumn="1" w:lastColumn="0" w:noHBand="0" w:noVBand="1"/>
      </w:tblPr>
      <w:tblGrid>
        <w:gridCol w:w="1080"/>
        <w:gridCol w:w="1317"/>
        <w:gridCol w:w="1329"/>
        <w:gridCol w:w="1329"/>
        <w:gridCol w:w="1366"/>
      </w:tblGrid>
      <w:tr w:rsidR="00852845" w:rsidRPr="00B511D4" w14:paraId="2FE94F15" w14:textId="77777777" w:rsidTr="00852845">
        <w:trPr>
          <w:trHeight w:val="300"/>
        </w:trPr>
        <w:tc>
          <w:tcPr>
            <w:tcW w:w="10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14B9220" w14:textId="77777777" w:rsidR="00852845" w:rsidRPr="00B511D4" w:rsidRDefault="00852845" w:rsidP="00A07BAC">
            <w:pPr>
              <w:rPr>
                <w:b/>
                <w:bCs/>
                <w:color w:val="000000"/>
                <w:sz w:val="22"/>
                <w:szCs w:val="22"/>
                <w:lang w:eastAsia="en-GB"/>
              </w:rPr>
            </w:pPr>
            <w:r w:rsidRPr="00B511D4">
              <w:rPr>
                <w:b/>
                <w:bCs/>
                <w:color w:val="000000"/>
                <w:sz w:val="22"/>
                <w:szCs w:val="22"/>
                <w:lang w:eastAsia="en-GB"/>
              </w:rPr>
              <w:t>Age</w:t>
            </w:r>
          </w:p>
        </w:tc>
        <w:tc>
          <w:tcPr>
            <w:tcW w:w="1317" w:type="dxa"/>
            <w:tcBorders>
              <w:top w:val="single" w:sz="4" w:space="0" w:color="auto"/>
              <w:left w:val="nil"/>
              <w:bottom w:val="single" w:sz="4" w:space="0" w:color="auto"/>
              <w:right w:val="single" w:sz="4" w:space="0" w:color="auto"/>
            </w:tcBorders>
            <w:shd w:val="clear" w:color="000000" w:fill="FFFFFF"/>
            <w:noWrap/>
            <w:vAlign w:val="bottom"/>
            <w:hideMark/>
          </w:tcPr>
          <w:p w14:paraId="3DC3275B" w14:textId="02FBC11A" w:rsidR="00852845" w:rsidRPr="00B511D4" w:rsidRDefault="00766F75" w:rsidP="00670F64">
            <w:pPr>
              <w:jc w:val="center"/>
              <w:rPr>
                <w:b/>
                <w:bCs/>
                <w:color w:val="000000"/>
                <w:sz w:val="22"/>
                <w:szCs w:val="22"/>
                <w:lang w:eastAsia="en-GB"/>
              </w:rPr>
            </w:pPr>
            <w:r w:rsidRPr="00B511D4">
              <w:rPr>
                <w:b/>
                <w:bCs/>
                <w:color w:val="000000"/>
                <w:sz w:val="22"/>
                <w:szCs w:val="22"/>
                <w:lang w:eastAsia="en-GB"/>
              </w:rPr>
              <w:t>M</w:t>
            </w:r>
            <w:r w:rsidR="00852845" w:rsidRPr="00B511D4">
              <w:rPr>
                <w:b/>
                <w:bCs/>
                <w:color w:val="000000"/>
                <w:sz w:val="22"/>
                <w:szCs w:val="22"/>
                <w:lang w:eastAsia="en-GB"/>
              </w:rPr>
              <w:t>id-20</w:t>
            </w:r>
            <w:r w:rsidRPr="00B511D4">
              <w:rPr>
                <w:b/>
                <w:bCs/>
                <w:color w:val="000000"/>
                <w:sz w:val="22"/>
                <w:szCs w:val="22"/>
                <w:lang w:eastAsia="en-GB"/>
              </w:rPr>
              <w:t>20</w:t>
            </w:r>
          </w:p>
        </w:tc>
        <w:tc>
          <w:tcPr>
            <w:tcW w:w="1329" w:type="dxa"/>
            <w:tcBorders>
              <w:top w:val="single" w:sz="4" w:space="0" w:color="auto"/>
              <w:left w:val="nil"/>
              <w:bottom w:val="single" w:sz="4" w:space="0" w:color="auto"/>
              <w:right w:val="single" w:sz="4" w:space="0" w:color="auto"/>
            </w:tcBorders>
            <w:vAlign w:val="bottom"/>
          </w:tcPr>
          <w:p w14:paraId="51B001C9" w14:textId="1C228293" w:rsidR="00852845" w:rsidRPr="00B511D4" w:rsidRDefault="00852845" w:rsidP="00670F64">
            <w:pPr>
              <w:jc w:val="center"/>
              <w:rPr>
                <w:b/>
                <w:bCs/>
                <w:color w:val="000000"/>
                <w:sz w:val="22"/>
                <w:szCs w:val="22"/>
                <w:lang w:eastAsia="en-GB"/>
              </w:rPr>
            </w:pPr>
            <w:r w:rsidRPr="00B511D4">
              <w:rPr>
                <w:b/>
                <w:bCs/>
                <w:color w:val="000000"/>
                <w:sz w:val="22"/>
                <w:szCs w:val="22"/>
                <w:lang w:eastAsia="en-GB"/>
              </w:rPr>
              <w:t>Mid-202</w:t>
            </w:r>
            <w:r w:rsidR="00766F75" w:rsidRPr="00B511D4">
              <w:rPr>
                <w:b/>
                <w:bCs/>
                <w:color w:val="000000"/>
                <w:sz w:val="22"/>
                <w:szCs w:val="22"/>
                <w:lang w:eastAsia="en-GB"/>
              </w:rPr>
              <w:t>1</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C99C83" w14:textId="1A628C60" w:rsidR="00852845" w:rsidRPr="00B511D4" w:rsidRDefault="00852845" w:rsidP="00670F64">
            <w:pPr>
              <w:jc w:val="center"/>
              <w:rPr>
                <w:b/>
                <w:bCs/>
                <w:color w:val="000000"/>
                <w:sz w:val="22"/>
                <w:szCs w:val="22"/>
                <w:lang w:eastAsia="en-GB"/>
              </w:rPr>
            </w:pPr>
            <w:r w:rsidRPr="00B511D4">
              <w:rPr>
                <w:b/>
                <w:bCs/>
                <w:color w:val="000000"/>
                <w:sz w:val="22"/>
                <w:szCs w:val="22"/>
                <w:lang w:eastAsia="en-GB"/>
              </w:rPr>
              <w:t># change</w:t>
            </w:r>
          </w:p>
        </w:tc>
        <w:tc>
          <w:tcPr>
            <w:tcW w:w="1366" w:type="dxa"/>
            <w:tcBorders>
              <w:top w:val="single" w:sz="4" w:space="0" w:color="auto"/>
              <w:left w:val="nil"/>
              <w:bottom w:val="single" w:sz="4" w:space="0" w:color="auto"/>
              <w:right w:val="single" w:sz="4" w:space="0" w:color="auto"/>
            </w:tcBorders>
            <w:shd w:val="clear" w:color="auto" w:fill="auto"/>
            <w:noWrap/>
            <w:vAlign w:val="bottom"/>
            <w:hideMark/>
          </w:tcPr>
          <w:p w14:paraId="0B8607E3" w14:textId="77777777" w:rsidR="00852845" w:rsidRPr="00B511D4" w:rsidRDefault="00852845" w:rsidP="00670F64">
            <w:pPr>
              <w:jc w:val="center"/>
              <w:rPr>
                <w:b/>
                <w:bCs/>
                <w:color w:val="000000"/>
                <w:sz w:val="22"/>
                <w:szCs w:val="22"/>
                <w:lang w:eastAsia="en-GB"/>
              </w:rPr>
            </w:pPr>
            <w:r w:rsidRPr="00B511D4">
              <w:rPr>
                <w:b/>
                <w:bCs/>
                <w:color w:val="000000"/>
                <w:sz w:val="22"/>
                <w:szCs w:val="22"/>
                <w:lang w:eastAsia="en-GB"/>
              </w:rPr>
              <w:t>% change</w:t>
            </w:r>
          </w:p>
        </w:tc>
      </w:tr>
      <w:tr w:rsidR="00766F75" w:rsidRPr="00B511D4" w14:paraId="20BFF993" w14:textId="77777777" w:rsidTr="00484376">
        <w:trPr>
          <w:trHeight w:val="285"/>
        </w:trPr>
        <w:tc>
          <w:tcPr>
            <w:tcW w:w="1080" w:type="dxa"/>
            <w:tcBorders>
              <w:top w:val="nil"/>
              <w:left w:val="single" w:sz="4" w:space="0" w:color="auto"/>
              <w:bottom w:val="single" w:sz="4" w:space="0" w:color="auto"/>
              <w:right w:val="single" w:sz="4" w:space="0" w:color="auto"/>
            </w:tcBorders>
            <w:shd w:val="clear" w:color="000000" w:fill="FFFFFF"/>
            <w:noWrap/>
            <w:vAlign w:val="bottom"/>
            <w:hideMark/>
          </w:tcPr>
          <w:p w14:paraId="248BAB44" w14:textId="77777777" w:rsidR="00766F75" w:rsidRPr="00B511D4" w:rsidRDefault="00766F75" w:rsidP="00766F75">
            <w:pPr>
              <w:rPr>
                <w:color w:val="000000"/>
                <w:sz w:val="22"/>
                <w:szCs w:val="22"/>
                <w:lang w:eastAsia="en-GB"/>
              </w:rPr>
            </w:pPr>
            <w:r w:rsidRPr="00B511D4">
              <w:rPr>
                <w:color w:val="000000"/>
                <w:sz w:val="22"/>
                <w:szCs w:val="22"/>
                <w:lang w:eastAsia="en-GB"/>
              </w:rPr>
              <w:t>0 to 4</w:t>
            </w:r>
          </w:p>
        </w:tc>
        <w:tc>
          <w:tcPr>
            <w:tcW w:w="1317" w:type="dxa"/>
            <w:tcBorders>
              <w:top w:val="nil"/>
              <w:left w:val="nil"/>
              <w:bottom w:val="single" w:sz="4" w:space="0" w:color="auto"/>
              <w:right w:val="single" w:sz="4" w:space="0" w:color="auto"/>
            </w:tcBorders>
            <w:shd w:val="clear" w:color="000000" w:fill="FFFFFF"/>
            <w:noWrap/>
            <w:vAlign w:val="bottom"/>
            <w:hideMark/>
          </w:tcPr>
          <w:p w14:paraId="419E1E56" w14:textId="1EAB9FBD" w:rsidR="00766F75" w:rsidRPr="00B511D4" w:rsidRDefault="00766F75" w:rsidP="00766F75">
            <w:pPr>
              <w:jc w:val="center"/>
              <w:rPr>
                <w:color w:val="000000"/>
                <w:sz w:val="22"/>
                <w:szCs w:val="22"/>
                <w:lang w:eastAsia="en-GB"/>
              </w:rPr>
            </w:pPr>
            <w:r w:rsidRPr="00B511D4">
              <w:rPr>
                <w:color w:val="000000"/>
                <w:sz w:val="22"/>
                <w:szCs w:val="22"/>
                <w:lang w:eastAsia="en-GB"/>
              </w:rPr>
              <w:t>17,832</w:t>
            </w:r>
          </w:p>
        </w:tc>
        <w:tc>
          <w:tcPr>
            <w:tcW w:w="1329" w:type="dxa"/>
            <w:tcBorders>
              <w:top w:val="single" w:sz="4" w:space="0" w:color="auto"/>
              <w:left w:val="nil"/>
              <w:bottom w:val="single" w:sz="4" w:space="0" w:color="auto"/>
              <w:right w:val="single" w:sz="4" w:space="0" w:color="auto"/>
            </w:tcBorders>
            <w:vAlign w:val="bottom"/>
          </w:tcPr>
          <w:p w14:paraId="52B1AEFC" w14:textId="738260A9" w:rsidR="00766F75" w:rsidRPr="00B511D4" w:rsidRDefault="00766F75" w:rsidP="00766F75">
            <w:pPr>
              <w:jc w:val="center"/>
              <w:rPr>
                <w:color w:val="000000"/>
                <w:sz w:val="22"/>
                <w:szCs w:val="22"/>
                <w:lang w:eastAsia="en-GB"/>
              </w:rPr>
            </w:pPr>
            <w:r w:rsidRPr="00B511D4">
              <w:rPr>
                <w:color w:val="000000"/>
                <w:sz w:val="22"/>
                <w:szCs w:val="22"/>
                <w:lang w:eastAsia="en-GB"/>
              </w:rPr>
              <w:t>1</w:t>
            </w:r>
            <w:r w:rsidR="005C4026" w:rsidRPr="00B511D4">
              <w:rPr>
                <w:color w:val="000000"/>
                <w:sz w:val="22"/>
                <w:szCs w:val="22"/>
                <w:lang w:eastAsia="en-GB"/>
              </w:rPr>
              <w:t>5</w:t>
            </w:r>
            <w:r w:rsidRPr="00B511D4">
              <w:rPr>
                <w:color w:val="000000"/>
                <w:sz w:val="22"/>
                <w:szCs w:val="22"/>
                <w:lang w:eastAsia="en-GB"/>
              </w:rPr>
              <w:t>,</w:t>
            </w:r>
            <w:r w:rsidR="005C4026" w:rsidRPr="00B511D4">
              <w:rPr>
                <w:color w:val="000000"/>
                <w:sz w:val="22"/>
                <w:szCs w:val="22"/>
                <w:lang w:eastAsia="en-GB"/>
              </w:rPr>
              <w:t>569</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FEA7B0" w14:textId="2B06A586" w:rsidR="00766F75" w:rsidRPr="00B511D4" w:rsidRDefault="00766F75" w:rsidP="00766F75">
            <w:pPr>
              <w:jc w:val="center"/>
              <w:rPr>
                <w:color w:val="000000"/>
                <w:sz w:val="22"/>
                <w:szCs w:val="22"/>
                <w:lang w:eastAsia="en-GB"/>
              </w:rPr>
            </w:pPr>
            <w:r w:rsidRPr="00B511D4">
              <w:rPr>
                <w:color w:val="000000"/>
                <w:sz w:val="22"/>
                <w:szCs w:val="22"/>
                <w:lang w:eastAsia="en-GB"/>
              </w:rPr>
              <w:t>-</w:t>
            </w:r>
            <w:r w:rsidR="00880D56" w:rsidRPr="00B511D4">
              <w:rPr>
                <w:color w:val="000000"/>
                <w:sz w:val="22"/>
                <w:szCs w:val="22"/>
                <w:lang w:eastAsia="en-GB"/>
              </w:rPr>
              <w:t>2,263</w:t>
            </w:r>
          </w:p>
        </w:tc>
        <w:tc>
          <w:tcPr>
            <w:tcW w:w="1366" w:type="dxa"/>
            <w:tcBorders>
              <w:top w:val="nil"/>
              <w:left w:val="nil"/>
              <w:bottom w:val="single" w:sz="4" w:space="0" w:color="auto"/>
              <w:right w:val="single" w:sz="4" w:space="0" w:color="auto"/>
            </w:tcBorders>
            <w:shd w:val="clear" w:color="auto" w:fill="auto"/>
            <w:noWrap/>
            <w:vAlign w:val="bottom"/>
          </w:tcPr>
          <w:p w14:paraId="6973F662" w14:textId="67811F52" w:rsidR="00766F75" w:rsidRPr="00B511D4" w:rsidRDefault="00766F75" w:rsidP="00766F75">
            <w:pPr>
              <w:jc w:val="center"/>
              <w:rPr>
                <w:color w:val="000000"/>
                <w:sz w:val="22"/>
                <w:szCs w:val="22"/>
                <w:lang w:eastAsia="en-GB"/>
              </w:rPr>
            </w:pPr>
            <w:r w:rsidRPr="00B511D4">
              <w:rPr>
                <w:color w:val="000000"/>
                <w:sz w:val="22"/>
                <w:szCs w:val="22"/>
                <w:lang w:eastAsia="en-GB"/>
              </w:rPr>
              <w:t>-</w:t>
            </w:r>
            <w:r w:rsidR="00880D56" w:rsidRPr="00B511D4">
              <w:rPr>
                <w:color w:val="000000"/>
                <w:sz w:val="22"/>
                <w:szCs w:val="22"/>
                <w:lang w:eastAsia="en-GB"/>
              </w:rPr>
              <w:t>12</w:t>
            </w:r>
            <w:r w:rsidRPr="00B511D4">
              <w:rPr>
                <w:color w:val="000000"/>
                <w:sz w:val="22"/>
                <w:szCs w:val="22"/>
                <w:lang w:eastAsia="en-GB"/>
              </w:rPr>
              <w:t>.</w:t>
            </w:r>
            <w:r w:rsidR="00880D56" w:rsidRPr="00B511D4">
              <w:rPr>
                <w:color w:val="000000"/>
                <w:sz w:val="22"/>
                <w:szCs w:val="22"/>
                <w:lang w:eastAsia="en-GB"/>
              </w:rPr>
              <w:t>7</w:t>
            </w:r>
            <w:r w:rsidRPr="00B511D4">
              <w:rPr>
                <w:color w:val="000000"/>
                <w:sz w:val="22"/>
                <w:szCs w:val="22"/>
                <w:lang w:eastAsia="en-GB"/>
              </w:rPr>
              <w:t>%</w:t>
            </w:r>
          </w:p>
        </w:tc>
      </w:tr>
      <w:tr w:rsidR="00766F75" w:rsidRPr="00B511D4" w14:paraId="713B67DC" w14:textId="77777777" w:rsidTr="00484376">
        <w:trPr>
          <w:trHeight w:val="285"/>
        </w:trPr>
        <w:tc>
          <w:tcPr>
            <w:tcW w:w="1080" w:type="dxa"/>
            <w:tcBorders>
              <w:top w:val="nil"/>
              <w:left w:val="single" w:sz="4" w:space="0" w:color="auto"/>
              <w:bottom w:val="single" w:sz="4" w:space="0" w:color="auto"/>
              <w:right w:val="single" w:sz="4" w:space="0" w:color="auto"/>
            </w:tcBorders>
            <w:shd w:val="clear" w:color="000000" w:fill="FFFFFF"/>
            <w:noWrap/>
            <w:vAlign w:val="bottom"/>
            <w:hideMark/>
          </w:tcPr>
          <w:p w14:paraId="7FD64C6C" w14:textId="0DA73A96" w:rsidR="00766F75" w:rsidRPr="00B511D4" w:rsidRDefault="00766F75" w:rsidP="00766F75">
            <w:pPr>
              <w:rPr>
                <w:color w:val="000000"/>
                <w:sz w:val="22"/>
                <w:szCs w:val="22"/>
                <w:lang w:eastAsia="en-GB"/>
              </w:rPr>
            </w:pPr>
            <w:r w:rsidRPr="00B511D4">
              <w:rPr>
                <w:color w:val="000000"/>
                <w:sz w:val="22"/>
                <w:szCs w:val="22"/>
                <w:lang w:eastAsia="en-GB"/>
              </w:rPr>
              <w:t xml:space="preserve">5 to </w:t>
            </w:r>
            <w:r w:rsidR="00E72CE7" w:rsidRPr="00B511D4">
              <w:rPr>
                <w:color w:val="000000"/>
                <w:sz w:val="22"/>
                <w:szCs w:val="22"/>
                <w:lang w:eastAsia="en-GB"/>
              </w:rPr>
              <w:t>10</w:t>
            </w:r>
          </w:p>
        </w:tc>
        <w:tc>
          <w:tcPr>
            <w:tcW w:w="1317" w:type="dxa"/>
            <w:tcBorders>
              <w:top w:val="nil"/>
              <w:left w:val="nil"/>
              <w:bottom w:val="single" w:sz="4" w:space="0" w:color="auto"/>
              <w:right w:val="single" w:sz="4" w:space="0" w:color="auto"/>
            </w:tcBorders>
            <w:shd w:val="clear" w:color="000000" w:fill="FFFFFF"/>
            <w:noWrap/>
            <w:vAlign w:val="bottom"/>
            <w:hideMark/>
          </w:tcPr>
          <w:p w14:paraId="1303D9F4" w14:textId="5BB6D461" w:rsidR="00766F75" w:rsidRPr="00B511D4" w:rsidRDefault="00E72CE7" w:rsidP="00766F75">
            <w:pPr>
              <w:jc w:val="center"/>
              <w:rPr>
                <w:color w:val="000000"/>
                <w:sz w:val="22"/>
                <w:szCs w:val="22"/>
                <w:lang w:eastAsia="en-GB"/>
              </w:rPr>
            </w:pPr>
            <w:r w:rsidRPr="00B511D4">
              <w:rPr>
                <w:color w:val="000000"/>
                <w:sz w:val="22"/>
                <w:szCs w:val="22"/>
                <w:lang w:eastAsia="en-GB"/>
              </w:rPr>
              <w:t>20</w:t>
            </w:r>
            <w:r w:rsidR="00766F75" w:rsidRPr="00B511D4">
              <w:rPr>
                <w:color w:val="000000"/>
                <w:sz w:val="22"/>
                <w:szCs w:val="22"/>
                <w:lang w:eastAsia="en-GB"/>
              </w:rPr>
              <w:t>,</w:t>
            </w:r>
            <w:r w:rsidRPr="00B511D4">
              <w:rPr>
                <w:color w:val="000000"/>
                <w:sz w:val="22"/>
                <w:szCs w:val="22"/>
                <w:lang w:eastAsia="en-GB"/>
              </w:rPr>
              <w:t>516</w:t>
            </w:r>
          </w:p>
        </w:tc>
        <w:tc>
          <w:tcPr>
            <w:tcW w:w="1329" w:type="dxa"/>
            <w:tcBorders>
              <w:top w:val="single" w:sz="4" w:space="0" w:color="auto"/>
              <w:left w:val="nil"/>
              <w:bottom w:val="single" w:sz="4" w:space="0" w:color="auto"/>
              <w:right w:val="single" w:sz="4" w:space="0" w:color="auto"/>
            </w:tcBorders>
            <w:vAlign w:val="bottom"/>
          </w:tcPr>
          <w:p w14:paraId="5ABE6962" w14:textId="029D4972" w:rsidR="00766F75" w:rsidRPr="00B511D4" w:rsidRDefault="00766F75" w:rsidP="00766F75">
            <w:pPr>
              <w:jc w:val="center"/>
              <w:rPr>
                <w:color w:val="000000"/>
                <w:sz w:val="22"/>
                <w:szCs w:val="22"/>
                <w:lang w:eastAsia="en-GB"/>
              </w:rPr>
            </w:pPr>
            <w:r w:rsidRPr="00B511D4">
              <w:rPr>
                <w:color w:val="000000"/>
                <w:sz w:val="22"/>
                <w:szCs w:val="22"/>
                <w:lang w:eastAsia="en-GB"/>
              </w:rPr>
              <w:t>1</w:t>
            </w:r>
            <w:r w:rsidR="00452B2F" w:rsidRPr="00B511D4">
              <w:rPr>
                <w:color w:val="000000"/>
                <w:sz w:val="22"/>
                <w:szCs w:val="22"/>
                <w:lang w:eastAsia="en-GB"/>
              </w:rPr>
              <w:t>9</w:t>
            </w:r>
            <w:r w:rsidRPr="00B511D4">
              <w:rPr>
                <w:color w:val="000000"/>
                <w:sz w:val="22"/>
                <w:szCs w:val="22"/>
                <w:lang w:eastAsia="en-GB"/>
              </w:rPr>
              <w:t>,</w:t>
            </w:r>
            <w:r w:rsidR="00452B2F" w:rsidRPr="00B511D4">
              <w:rPr>
                <w:color w:val="000000"/>
                <w:sz w:val="22"/>
                <w:szCs w:val="22"/>
                <w:lang w:eastAsia="en-GB"/>
              </w:rPr>
              <w:t>379</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CD301F" w14:textId="6603D1EA" w:rsidR="00766F75" w:rsidRPr="00B511D4" w:rsidRDefault="00880D56" w:rsidP="00766F75">
            <w:pPr>
              <w:jc w:val="center"/>
              <w:rPr>
                <w:color w:val="000000"/>
                <w:sz w:val="22"/>
                <w:szCs w:val="22"/>
                <w:lang w:eastAsia="en-GB"/>
              </w:rPr>
            </w:pPr>
            <w:r w:rsidRPr="00B511D4">
              <w:rPr>
                <w:color w:val="000000"/>
                <w:sz w:val="22"/>
                <w:szCs w:val="22"/>
                <w:lang w:eastAsia="en-GB"/>
              </w:rPr>
              <w:t>-1,137</w:t>
            </w:r>
          </w:p>
        </w:tc>
        <w:tc>
          <w:tcPr>
            <w:tcW w:w="1366" w:type="dxa"/>
            <w:tcBorders>
              <w:top w:val="nil"/>
              <w:left w:val="nil"/>
              <w:bottom w:val="single" w:sz="4" w:space="0" w:color="auto"/>
              <w:right w:val="single" w:sz="4" w:space="0" w:color="auto"/>
            </w:tcBorders>
            <w:shd w:val="clear" w:color="auto" w:fill="auto"/>
            <w:noWrap/>
            <w:vAlign w:val="bottom"/>
          </w:tcPr>
          <w:p w14:paraId="7BBBDDDD" w14:textId="70D87BBD" w:rsidR="00766F75" w:rsidRPr="00B511D4" w:rsidRDefault="00880D56" w:rsidP="00766F75">
            <w:pPr>
              <w:jc w:val="center"/>
              <w:rPr>
                <w:color w:val="000000"/>
                <w:sz w:val="22"/>
                <w:szCs w:val="22"/>
                <w:lang w:eastAsia="en-GB"/>
              </w:rPr>
            </w:pPr>
            <w:r w:rsidRPr="00B511D4">
              <w:rPr>
                <w:color w:val="000000"/>
                <w:sz w:val="22"/>
                <w:szCs w:val="22"/>
                <w:lang w:eastAsia="en-GB"/>
              </w:rPr>
              <w:t>-5.5</w:t>
            </w:r>
            <w:r w:rsidR="00766F75" w:rsidRPr="00B511D4">
              <w:rPr>
                <w:color w:val="000000"/>
                <w:sz w:val="22"/>
                <w:szCs w:val="22"/>
                <w:lang w:eastAsia="en-GB"/>
              </w:rPr>
              <w:t>%</w:t>
            </w:r>
          </w:p>
        </w:tc>
      </w:tr>
      <w:tr w:rsidR="00766F75" w:rsidRPr="00B511D4" w14:paraId="4CAF4B98" w14:textId="77777777" w:rsidTr="00484376">
        <w:trPr>
          <w:trHeight w:val="285"/>
        </w:trPr>
        <w:tc>
          <w:tcPr>
            <w:tcW w:w="1080" w:type="dxa"/>
            <w:tcBorders>
              <w:top w:val="nil"/>
              <w:left w:val="single" w:sz="4" w:space="0" w:color="auto"/>
              <w:bottom w:val="single" w:sz="4" w:space="0" w:color="auto"/>
              <w:right w:val="single" w:sz="4" w:space="0" w:color="auto"/>
            </w:tcBorders>
            <w:shd w:val="clear" w:color="000000" w:fill="FFFFFF"/>
            <w:noWrap/>
            <w:vAlign w:val="bottom"/>
            <w:hideMark/>
          </w:tcPr>
          <w:p w14:paraId="0F0C5770" w14:textId="775C644F" w:rsidR="00766F75" w:rsidRPr="00B511D4" w:rsidRDefault="00766F75" w:rsidP="00766F75">
            <w:pPr>
              <w:rPr>
                <w:color w:val="000000"/>
                <w:sz w:val="22"/>
                <w:szCs w:val="22"/>
                <w:lang w:eastAsia="en-GB"/>
              </w:rPr>
            </w:pPr>
            <w:r w:rsidRPr="00B511D4">
              <w:rPr>
                <w:color w:val="000000"/>
                <w:sz w:val="22"/>
                <w:szCs w:val="22"/>
                <w:lang w:eastAsia="en-GB"/>
              </w:rPr>
              <w:t>1</w:t>
            </w:r>
            <w:r w:rsidR="00452B2F" w:rsidRPr="00B511D4">
              <w:rPr>
                <w:color w:val="000000"/>
                <w:sz w:val="22"/>
                <w:szCs w:val="22"/>
                <w:lang w:eastAsia="en-GB"/>
              </w:rPr>
              <w:t>1</w:t>
            </w:r>
            <w:r w:rsidRPr="00B511D4">
              <w:rPr>
                <w:color w:val="000000"/>
                <w:sz w:val="22"/>
                <w:szCs w:val="22"/>
                <w:lang w:eastAsia="en-GB"/>
              </w:rPr>
              <w:t xml:space="preserve"> to 1</w:t>
            </w:r>
            <w:r w:rsidR="000F6107" w:rsidRPr="00B511D4">
              <w:rPr>
                <w:color w:val="000000"/>
                <w:sz w:val="22"/>
                <w:szCs w:val="22"/>
                <w:lang w:eastAsia="en-GB"/>
              </w:rPr>
              <w:t>5</w:t>
            </w:r>
          </w:p>
        </w:tc>
        <w:tc>
          <w:tcPr>
            <w:tcW w:w="1317" w:type="dxa"/>
            <w:tcBorders>
              <w:top w:val="nil"/>
              <w:left w:val="nil"/>
              <w:bottom w:val="single" w:sz="4" w:space="0" w:color="auto"/>
              <w:right w:val="single" w:sz="4" w:space="0" w:color="auto"/>
            </w:tcBorders>
            <w:shd w:val="clear" w:color="000000" w:fill="FFFFFF"/>
            <w:noWrap/>
            <w:vAlign w:val="bottom"/>
            <w:hideMark/>
          </w:tcPr>
          <w:p w14:paraId="2DB759ED" w14:textId="465A2E34" w:rsidR="00766F75" w:rsidRPr="00B511D4" w:rsidRDefault="00766F75" w:rsidP="00766F75">
            <w:pPr>
              <w:jc w:val="center"/>
              <w:rPr>
                <w:color w:val="000000"/>
                <w:sz w:val="22"/>
                <w:szCs w:val="22"/>
                <w:lang w:eastAsia="en-GB"/>
              </w:rPr>
            </w:pPr>
            <w:r w:rsidRPr="00B511D4">
              <w:rPr>
                <w:color w:val="000000"/>
                <w:sz w:val="22"/>
                <w:szCs w:val="22"/>
                <w:lang w:eastAsia="en-GB"/>
              </w:rPr>
              <w:t>15,</w:t>
            </w:r>
            <w:r w:rsidR="000F6107" w:rsidRPr="00B511D4">
              <w:rPr>
                <w:color w:val="000000"/>
                <w:sz w:val="22"/>
                <w:szCs w:val="22"/>
                <w:lang w:eastAsia="en-GB"/>
              </w:rPr>
              <w:t>464</w:t>
            </w:r>
          </w:p>
        </w:tc>
        <w:tc>
          <w:tcPr>
            <w:tcW w:w="1329" w:type="dxa"/>
            <w:tcBorders>
              <w:top w:val="single" w:sz="4" w:space="0" w:color="auto"/>
              <w:left w:val="nil"/>
              <w:bottom w:val="single" w:sz="4" w:space="0" w:color="auto"/>
              <w:right w:val="single" w:sz="4" w:space="0" w:color="auto"/>
            </w:tcBorders>
            <w:vAlign w:val="bottom"/>
          </w:tcPr>
          <w:p w14:paraId="4A0E0359" w14:textId="2F2E76A6" w:rsidR="00766F75" w:rsidRPr="00B511D4" w:rsidRDefault="00C430B4" w:rsidP="00766F75">
            <w:pPr>
              <w:jc w:val="center"/>
              <w:rPr>
                <w:color w:val="000000"/>
                <w:sz w:val="22"/>
                <w:szCs w:val="22"/>
                <w:lang w:eastAsia="en-GB"/>
              </w:rPr>
            </w:pPr>
            <w:r w:rsidRPr="00B511D4">
              <w:rPr>
                <w:color w:val="000000"/>
                <w:sz w:val="22"/>
                <w:szCs w:val="22"/>
                <w:lang w:eastAsia="en-GB"/>
              </w:rPr>
              <w:t>16,365</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01B57B" w14:textId="6FF09A83" w:rsidR="00766F75" w:rsidRPr="00B511D4" w:rsidRDefault="00880D56" w:rsidP="00766F75">
            <w:pPr>
              <w:jc w:val="center"/>
              <w:rPr>
                <w:color w:val="000000"/>
                <w:sz w:val="22"/>
                <w:szCs w:val="22"/>
                <w:lang w:eastAsia="en-GB"/>
              </w:rPr>
            </w:pPr>
            <w:r w:rsidRPr="00B511D4">
              <w:rPr>
                <w:color w:val="000000"/>
                <w:sz w:val="22"/>
                <w:szCs w:val="22"/>
                <w:lang w:eastAsia="en-GB"/>
              </w:rPr>
              <w:t>901</w:t>
            </w:r>
          </w:p>
        </w:tc>
        <w:tc>
          <w:tcPr>
            <w:tcW w:w="1366" w:type="dxa"/>
            <w:tcBorders>
              <w:top w:val="nil"/>
              <w:left w:val="nil"/>
              <w:bottom w:val="single" w:sz="4" w:space="0" w:color="auto"/>
              <w:right w:val="single" w:sz="4" w:space="0" w:color="auto"/>
            </w:tcBorders>
            <w:shd w:val="clear" w:color="auto" w:fill="auto"/>
            <w:noWrap/>
            <w:vAlign w:val="bottom"/>
          </w:tcPr>
          <w:p w14:paraId="529C2E76" w14:textId="321BF409" w:rsidR="00766F75" w:rsidRPr="00B511D4" w:rsidRDefault="00880D56" w:rsidP="00766F75">
            <w:pPr>
              <w:jc w:val="center"/>
              <w:rPr>
                <w:color w:val="000000"/>
                <w:sz w:val="22"/>
                <w:szCs w:val="22"/>
                <w:lang w:eastAsia="en-GB"/>
              </w:rPr>
            </w:pPr>
            <w:r w:rsidRPr="00B511D4">
              <w:rPr>
                <w:color w:val="000000"/>
                <w:sz w:val="22"/>
                <w:szCs w:val="22"/>
                <w:lang w:eastAsia="en-GB"/>
              </w:rPr>
              <w:t>5.8</w:t>
            </w:r>
            <w:r w:rsidR="00766F75" w:rsidRPr="00B511D4">
              <w:rPr>
                <w:color w:val="000000"/>
                <w:sz w:val="22"/>
                <w:szCs w:val="22"/>
                <w:lang w:eastAsia="en-GB"/>
              </w:rPr>
              <w:t>%</w:t>
            </w:r>
          </w:p>
        </w:tc>
      </w:tr>
      <w:tr w:rsidR="00766F75" w:rsidRPr="00B511D4" w14:paraId="1129A2B2" w14:textId="77777777" w:rsidTr="00484376">
        <w:trPr>
          <w:trHeight w:val="285"/>
        </w:trPr>
        <w:tc>
          <w:tcPr>
            <w:tcW w:w="1080" w:type="dxa"/>
            <w:tcBorders>
              <w:top w:val="nil"/>
              <w:left w:val="single" w:sz="4" w:space="0" w:color="auto"/>
              <w:bottom w:val="single" w:sz="4" w:space="0" w:color="auto"/>
              <w:right w:val="single" w:sz="4" w:space="0" w:color="auto"/>
            </w:tcBorders>
            <w:shd w:val="clear" w:color="000000" w:fill="FFFFFF"/>
            <w:noWrap/>
            <w:vAlign w:val="bottom"/>
            <w:hideMark/>
          </w:tcPr>
          <w:p w14:paraId="7BF3E12E" w14:textId="263A38CC" w:rsidR="00766F75" w:rsidRPr="00B511D4" w:rsidRDefault="00766F75" w:rsidP="00766F75">
            <w:pPr>
              <w:rPr>
                <w:color w:val="000000"/>
                <w:sz w:val="22"/>
                <w:szCs w:val="22"/>
                <w:lang w:eastAsia="en-GB"/>
              </w:rPr>
            </w:pPr>
            <w:r w:rsidRPr="00B511D4">
              <w:rPr>
                <w:color w:val="000000"/>
                <w:sz w:val="22"/>
                <w:szCs w:val="22"/>
                <w:lang w:eastAsia="en-GB"/>
              </w:rPr>
              <w:t>1</w:t>
            </w:r>
            <w:r w:rsidR="000F6107" w:rsidRPr="00B511D4">
              <w:rPr>
                <w:color w:val="000000"/>
                <w:sz w:val="22"/>
                <w:szCs w:val="22"/>
                <w:lang w:eastAsia="en-GB"/>
              </w:rPr>
              <w:t>6</w:t>
            </w:r>
            <w:r w:rsidRPr="00B511D4">
              <w:rPr>
                <w:color w:val="000000"/>
                <w:sz w:val="22"/>
                <w:szCs w:val="22"/>
                <w:lang w:eastAsia="en-GB"/>
              </w:rPr>
              <w:t xml:space="preserve"> to 19</w:t>
            </w:r>
          </w:p>
        </w:tc>
        <w:tc>
          <w:tcPr>
            <w:tcW w:w="1317" w:type="dxa"/>
            <w:tcBorders>
              <w:top w:val="nil"/>
              <w:left w:val="nil"/>
              <w:bottom w:val="single" w:sz="4" w:space="0" w:color="auto"/>
              <w:right w:val="single" w:sz="4" w:space="0" w:color="auto"/>
            </w:tcBorders>
            <w:shd w:val="clear" w:color="000000" w:fill="FFFFFF"/>
            <w:noWrap/>
            <w:vAlign w:val="bottom"/>
            <w:hideMark/>
          </w:tcPr>
          <w:p w14:paraId="210BC017" w14:textId="58A841F6" w:rsidR="00766F75" w:rsidRPr="00B511D4" w:rsidRDefault="00766F75" w:rsidP="00766F75">
            <w:pPr>
              <w:jc w:val="center"/>
              <w:rPr>
                <w:color w:val="000000"/>
                <w:sz w:val="22"/>
                <w:szCs w:val="22"/>
                <w:lang w:eastAsia="en-GB"/>
              </w:rPr>
            </w:pPr>
            <w:r w:rsidRPr="00B511D4">
              <w:rPr>
                <w:color w:val="000000"/>
                <w:sz w:val="22"/>
                <w:szCs w:val="22"/>
                <w:lang w:eastAsia="en-GB"/>
              </w:rPr>
              <w:t>1</w:t>
            </w:r>
            <w:r w:rsidR="000F6107" w:rsidRPr="00B511D4">
              <w:rPr>
                <w:color w:val="000000"/>
                <w:sz w:val="22"/>
                <w:szCs w:val="22"/>
                <w:lang w:eastAsia="en-GB"/>
              </w:rPr>
              <w:t>0</w:t>
            </w:r>
            <w:r w:rsidRPr="00B511D4">
              <w:rPr>
                <w:color w:val="000000"/>
                <w:sz w:val="22"/>
                <w:szCs w:val="22"/>
                <w:lang w:eastAsia="en-GB"/>
              </w:rPr>
              <w:t>,95</w:t>
            </w:r>
            <w:r w:rsidR="000F6107" w:rsidRPr="00B511D4">
              <w:rPr>
                <w:color w:val="000000"/>
                <w:sz w:val="22"/>
                <w:szCs w:val="22"/>
                <w:lang w:eastAsia="en-GB"/>
              </w:rPr>
              <w:t>2</w:t>
            </w:r>
          </w:p>
        </w:tc>
        <w:tc>
          <w:tcPr>
            <w:tcW w:w="1329" w:type="dxa"/>
            <w:tcBorders>
              <w:top w:val="single" w:sz="4" w:space="0" w:color="auto"/>
              <w:left w:val="nil"/>
              <w:bottom w:val="single" w:sz="4" w:space="0" w:color="auto"/>
              <w:right w:val="single" w:sz="4" w:space="0" w:color="auto"/>
            </w:tcBorders>
            <w:vAlign w:val="bottom"/>
          </w:tcPr>
          <w:p w14:paraId="4C6513AE" w14:textId="0AB942BE" w:rsidR="00766F75" w:rsidRPr="00B511D4" w:rsidRDefault="00C430B4" w:rsidP="00766F75">
            <w:pPr>
              <w:jc w:val="center"/>
              <w:rPr>
                <w:color w:val="000000"/>
                <w:sz w:val="22"/>
                <w:szCs w:val="22"/>
                <w:lang w:eastAsia="en-GB"/>
              </w:rPr>
            </w:pPr>
            <w:r w:rsidRPr="00B511D4">
              <w:rPr>
                <w:color w:val="000000"/>
                <w:sz w:val="22"/>
                <w:szCs w:val="22"/>
                <w:lang w:eastAsia="en-GB"/>
              </w:rPr>
              <w:t>12,068</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D4E6CE" w14:textId="70AAA7C1" w:rsidR="00766F75" w:rsidRPr="00B511D4" w:rsidRDefault="00880D56" w:rsidP="00766F75">
            <w:pPr>
              <w:jc w:val="center"/>
              <w:rPr>
                <w:color w:val="000000"/>
                <w:sz w:val="22"/>
                <w:szCs w:val="22"/>
                <w:lang w:eastAsia="en-GB"/>
              </w:rPr>
            </w:pPr>
            <w:r w:rsidRPr="00B511D4">
              <w:rPr>
                <w:color w:val="000000"/>
                <w:sz w:val="22"/>
                <w:szCs w:val="22"/>
                <w:lang w:eastAsia="en-GB"/>
              </w:rPr>
              <w:t>1,116</w:t>
            </w:r>
          </w:p>
        </w:tc>
        <w:tc>
          <w:tcPr>
            <w:tcW w:w="1366" w:type="dxa"/>
            <w:tcBorders>
              <w:top w:val="nil"/>
              <w:left w:val="nil"/>
              <w:bottom w:val="single" w:sz="4" w:space="0" w:color="auto"/>
              <w:right w:val="single" w:sz="4" w:space="0" w:color="auto"/>
            </w:tcBorders>
            <w:shd w:val="clear" w:color="auto" w:fill="auto"/>
            <w:noWrap/>
            <w:vAlign w:val="bottom"/>
          </w:tcPr>
          <w:p w14:paraId="34A74C5F" w14:textId="4D2A329B" w:rsidR="00766F75" w:rsidRPr="00B511D4" w:rsidRDefault="00880D56" w:rsidP="00766F75">
            <w:pPr>
              <w:jc w:val="center"/>
              <w:rPr>
                <w:color w:val="000000"/>
                <w:sz w:val="22"/>
                <w:szCs w:val="22"/>
                <w:lang w:eastAsia="en-GB"/>
              </w:rPr>
            </w:pPr>
            <w:r w:rsidRPr="00B511D4">
              <w:rPr>
                <w:color w:val="000000"/>
                <w:sz w:val="22"/>
                <w:szCs w:val="22"/>
                <w:lang w:eastAsia="en-GB"/>
              </w:rPr>
              <w:t>10</w:t>
            </w:r>
            <w:r w:rsidR="00766F75" w:rsidRPr="00B511D4">
              <w:rPr>
                <w:color w:val="000000"/>
                <w:sz w:val="22"/>
                <w:szCs w:val="22"/>
                <w:lang w:eastAsia="en-GB"/>
              </w:rPr>
              <w:t>.</w:t>
            </w:r>
            <w:r w:rsidRPr="00B511D4">
              <w:rPr>
                <w:color w:val="000000"/>
                <w:sz w:val="22"/>
                <w:szCs w:val="22"/>
                <w:lang w:eastAsia="en-GB"/>
              </w:rPr>
              <w:t>2</w:t>
            </w:r>
            <w:r w:rsidR="00766F75" w:rsidRPr="00B511D4">
              <w:rPr>
                <w:color w:val="000000"/>
                <w:sz w:val="22"/>
                <w:szCs w:val="22"/>
                <w:lang w:eastAsia="en-GB"/>
              </w:rPr>
              <w:t>%</w:t>
            </w:r>
          </w:p>
        </w:tc>
      </w:tr>
      <w:tr w:rsidR="00766F75" w:rsidRPr="00B511D4" w14:paraId="1E9FB2C1" w14:textId="77777777" w:rsidTr="00484376">
        <w:trPr>
          <w:trHeight w:val="285"/>
        </w:trPr>
        <w:tc>
          <w:tcPr>
            <w:tcW w:w="1080" w:type="dxa"/>
            <w:tcBorders>
              <w:top w:val="nil"/>
              <w:left w:val="single" w:sz="4" w:space="0" w:color="auto"/>
              <w:bottom w:val="single" w:sz="4" w:space="0" w:color="auto"/>
              <w:right w:val="single" w:sz="4" w:space="0" w:color="auto"/>
            </w:tcBorders>
            <w:shd w:val="clear" w:color="000000" w:fill="FFFFFF"/>
            <w:noWrap/>
            <w:vAlign w:val="bottom"/>
            <w:hideMark/>
          </w:tcPr>
          <w:p w14:paraId="05533366" w14:textId="11C7A4A9" w:rsidR="00766F75" w:rsidRPr="00B511D4" w:rsidRDefault="00766F75" w:rsidP="00766F75">
            <w:pPr>
              <w:rPr>
                <w:color w:val="000000"/>
                <w:sz w:val="22"/>
                <w:szCs w:val="22"/>
                <w:lang w:eastAsia="en-GB"/>
              </w:rPr>
            </w:pPr>
            <w:r w:rsidRPr="00B511D4">
              <w:rPr>
                <w:color w:val="000000"/>
                <w:sz w:val="22"/>
                <w:szCs w:val="22"/>
                <w:lang w:eastAsia="en-GB"/>
              </w:rPr>
              <w:t>20 to 2</w:t>
            </w:r>
            <w:r w:rsidR="005C4026" w:rsidRPr="00B511D4">
              <w:rPr>
                <w:color w:val="000000"/>
                <w:sz w:val="22"/>
                <w:szCs w:val="22"/>
                <w:lang w:eastAsia="en-GB"/>
              </w:rPr>
              <w:t>5</w:t>
            </w:r>
          </w:p>
        </w:tc>
        <w:tc>
          <w:tcPr>
            <w:tcW w:w="1317" w:type="dxa"/>
            <w:tcBorders>
              <w:top w:val="nil"/>
              <w:left w:val="nil"/>
              <w:bottom w:val="single" w:sz="4" w:space="0" w:color="auto"/>
              <w:right w:val="single" w:sz="4" w:space="0" w:color="auto"/>
            </w:tcBorders>
            <w:shd w:val="clear" w:color="000000" w:fill="FFFFFF"/>
            <w:noWrap/>
            <w:vAlign w:val="bottom"/>
            <w:hideMark/>
          </w:tcPr>
          <w:p w14:paraId="46348CFB" w14:textId="6C7B044E" w:rsidR="00766F75" w:rsidRPr="00B511D4" w:rsidRDefault="000F6107" w:rsidP="00766F75">
            <w:pPr>
              <w:jc w:val="center"/>
              <w:rPr>
                <w:color w:val="000000"/>
                <w:sz w:val="22"/>
                <w:szCs w:val="22"/>
                <w:lang w:eastAsia="en-GB"/>
              </w:rPr>
            </w:pPr>
            <w:r w:rsidRPr="00B511D4">
              <w:rPr>
                <w:color w:val="000000"/>
                <w:sz w:val="22"/>
                <w:szCs w:val="22"/>
                <w:lang w:eastAsia="en-GB"/>
              </w:rPr>
              <w:t>16,224</w:t>
            </w:r>
          </w:p>
        </w:tc>
        <w:tc>
          <w:tcPr>
            <w:tcW w:w="1329" w:type="dxa"/>
            <w:tcBorders>
              <w:top w:val="single" w:sz="4" w:space="0" w:color="auto"/>
              <w:left w:val="nil"/>
              <w:bottom w:val="single" w:sz="4" w:space="0" w:color="auto"/>
              <w:right w:val="single" w:sz="4" w:space="0" w:color="auto"/>
            </w:tcBorders>
            <w:vAlign w:val="bottom"/>
          </w:tcPr>
          <w:p w14:paraId="0EE80D8E" w14:textId="74CD770C" w:rsidR="00766F75" w:rsidRPr="00B511D4" w:rsidRDefault="00C430B4" w:rsidP="00766F75">
            <w:pPr>
              <w:jc w:val="center"/>
              <w:rPr>
                <w:color w:val="000000"/>
                <w:sz w:val="22"/>
                <w:szCs w:val="22"/>
                <w:lang w:eastAsia="en-GB"/>
              </w:rPr>
            </w:pPr>
            <w:r w:rsidRPr="00B511D4">
              <w:rPr>
                <w:color w:val="000000"/>
                <w:sz w:val="22"/>
                <w:szCs w:val="22"/>
                <w:lang w:eastAsia="en-GB"/>
              </w:rPr>
              <w:t>18,631</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114C0D" w14:textId="3BB24174" w:rsidR="00766F75" w:rsidRPr="00B511D4" w:rsidRDefault="00880D56" w:rsidP="00766F75">
            <w:pPr>
              <w:jc w:val="center"/>
              <w:rPr>
                <w:color w:val="000000"/>
                <w:sz w:val="22"/>
                <w:szCs w:val="22"/>
                <w:lang w:eastAsia="en-GB"/>
              </w:rPr>
            </w:pPr>
            <w:r w:rsidRPr="00B511D4">
              <w:rPr>
                <w:color w:val="000000"/>
                <w:sz w:val="22"/>
                <w:szCs w:val="22"/>
                <w:lang w:eastAsia="en-GB"/>
              </w:rPr>
              <w:t>2,407</w:t>
            </w:r>
          </w:p>
        </w:tc>
        <w:tc>
          <w:tcPr>
            <w:tcW w:w="1366" w:type="dxa"/>
            <w:tcBorders>
              <w:top w:val="nil"/>
              <w:left w:val="nil"/>
              <w:bottom w:val="single" w:sz="4" w:space="0" w:color="auto"/>
              <w:right w:val="single" w:sz="4" w:space="0" w:color="auto"/>
            </w:tcBorders>
            <w:shd w:val="clear" w:color="auto" w:fill="auto"/>
            <w:noWrap/>
            <w:vAlign w:val="bottom"/>
          </w:tcPr>
          <w:p w14:paraId="579F8AE1" w14:textId="14D93ACC" w:rsidR="00766F75" w:rsidRPr="00B511D4" w:rsidRDefault="00880D56" w:rsidP="00766F75">
            <w:pPr>
              <w:jc w:val="center"/>
              <w:rPr>
                <w:color w:val="000000"/>
                <w:sz w:val="22"/>
                <w:szCs w:val="22"/>
                <w:lang w:eastAsia="en-GB"/>
              </w:rPr>
            </w:pPr>
            <w:r w:rsidRPr="00B511D4">
              <w:rPr>
                <w:color w:val="000000"/>
                <w:sz w:val="22"/>
                <w:szCs w:val="22"/>
                <w:lang w:eastAsia="en-GB"/>
              </w:rPr>
              <w:t>14.8</w:t>
            </w:r>
            <w:r w:rsidR="00766F75" w:rsidRPr="00B511D4">
              <w:rPr>
                <w:color w:val="000000"/>
                <w:sz w:val="22"/>
                <w:szCs w:val="22"/>
                <w:lang w:eastAsia="en-GB"/>
              </w:rPr>
              <w:t>%</w:t>
            </w:r>
          </w:p>
        </w:tc>
      </w:tr>
    </w:tbl>
    <w:p w14:paraId="6EEE7637" w14:textId="53292982" w:rsidR="008E47B1" w:rsidRPr="00B511D4" w:rsidRDefault="00A07BAC" w:rsidP="00A16979">
      <w:pPr>
        <w:rPr>
          <w:bCs/>
          <w:sz w:val="20"/>
          <w:szCs w:val="20"/>
        </w:rPr>
      </w:pPr>
      <w:r w:rsidRPr="00B511D4">
        <w:rPr>
          <w:bCs/>
          <w:sz w:val="20"/>
          <w:szCs w:val="20"/>
        </w:rPr>
        <w:t xml:space="preserve">Source: </w:t>
      </w:r>
      <w:r w:rsidR="002C7774" w:rsidRPr="00B511D4">
        <w:rPr>
          <w:bCs/>
          <w:sz w:val="20"/>
          <w:szCs w:val="20"/>
        </w:rPr>
        <w:t xml:space="preserve">Population Estimates Table </w:t>
      </w:r>
      <w:r w:rsidRPr="00B511D4">
        <w:rPr>
          <w:bCs/>
          <w:sz w:val="20"/>
          <w:szCs w:val="20"/>
        </w:rPr>
        <w:t>(20</w:t>
      </w:r>
      <w:r w:rsidR="002C7774" w:rsidRPr="00B511D4">
        <w:rPr>
          <w:bCs/>
          <w:sz w:val="20"/>
          <w:szCs w:val="20"/>
        </w:rPr>
        <w:t>2</w:t>
      </w:r>
      <w:r w:rsidR="005C4026" w:rsidRPr="00B511D4">
        <w:rPr>
          <w:bCs/>
          <w:sz w:val="20"/>
          <w:szCs w:val="20"/>
        </w:rPr>
        <w:t>1</w:t>
      </w:r>
      <w:r w:rsidRPr="00B511D4">
        <w:rPr>
          <w:bCs/>
          <w:sz w:val="20"/>
          <w:szCs w:val="20"/>
        </w:rPr>
        <w:t>)</w:t>
      </w:r>
    </w:p>
    <w:p w14:paraId="1E69479B" w14:textId="09B9157C" w:rsidR="00FC2A9D" w:rsidRPr="00B511D4" w:rsidRDefault="00FC2A9D" w:rsidP="00A16979">
      <w:pPr>
        <w:rPr>
          <w:b/>
          <w:bCs/>
        </w:rPr>
      </w:pPr>
    </w:p>
    <w:p w14:paraId="1C79E302" w14:textId="0FAC3E2E" w:rsidR="0022370F" w:rsidRPr="00B511D4" w:rsidRDefault="0022370F" w:rsidP="00A16979">
      <w:r w:rsidRPr="00B511D4">
        <w:t>The ONS were scheduled to have published the 2022 MYE in summer 2023, unfortunately they are yet to be released.</w:t>
      </w:r>
    </w:p>
    <w:p w14:paraId="55C39949" w14:textId="77777777" w:rsidR="0022370F" w:rsidRPr="00B511D4" w:rsidRDefault="0022370F" w:rsidP="00A16979">
      <w:pPr>
        <w:rPr>
          <w:b/>
          <w:bCs/>
        </w:rPr>
      </w:pPr>
    </w:p>
    <w:p w14:paraId="6CA8B820" w14:textId="20041A79" w:rsidR="00A16979" w:rsidRPr="00B511D4" w:rsidRDefault="00615597" w:rsidP="00A16979">
      <w:pPr>
        <w:rPr>
          <w:b/>
          <w:bCs/>
        </w:rPr>
      </w:pPr>
      <w:r w:rsidRPr="00B511D4">
        <w:rPr>
          <w:b/>
          <w:bCs/>
        </w:rPr>
        <w:t xml:space="preserve">ONS </w:t>
      </w:r>
      <w:r w:rsidR="0076307E" w:rsidRPr="00B511D4">
        <w:rPr>
          <w:b/>
          <w:bCs/>
        </w:rPr>
        <w:t>Sub National Population Projections</w:t>
      </w:r>
    </w:p>
    <w:p w14:paraId="13E348B0" w14:textId="34EA5A99" w:rsidR="0076307E" w:rsidRPr="00B511D4" w:rsidRDefault="00FC4B9D" w:rsidP="00A16979">
      <w:r w:rsidRPr="00B511D4">
        <w:t xml:space="preserve">The ONS’s </w:t>
      </w:r>
      <w:r w:rsidR="0076307E" w:rsidRPr="00B511D4">
        <w:t>Population Projections (SNPP) provide statistics on potential future size and age structure of the population.  They are based on past trends and assumptions of future levels of births, deaths and migration.  They do not incorporate local development plans but instead provide a baseline, which can be combined with local knowledge.</w:t>
      </w:r>
    </w:p>
    <w:p w14:paraId="6ACCB45D" w14:textId="77777777" w:rsidR="0076307E" w:rsidRPr="00B511D4" w:rsidRDefault="0076307E" w:rsidP="00A16979"/>
    <w:p w14:paraId="1DA27980" w14:textId="3A83F067" w:rsidR="00FC4B9D" w:rsidRPr="00B511D4" w:rsidRDefault="00FC4B9D" w:rsidP="00A16979">
      <w:pPr>
        <w:rPr>
          <w:b/>
        </w:rPr>
      </w:pPr>
      <w:r w:rsidRPr="00B511D4">
        <w:rPr>
          <w:b/>
        </w:rPr>
        <w:t>Harrow’s 2018-based SNPPs</w:t>
      </w:r>
    </w:p>
    <w:p w14:paraId="2BA7648D" w14:textId="77777777" w:rsidR="003132ED" w:rsidRPr="00B511D4" w:rsidRDefault="003132ED" w:rsidP="003132ED">
      <w:pPr>
        <w:contextualSpacing/>
      </w:pPr>
      <w:r w:rsidRPr="00B511D4">
        <w:t xml:space="preserve">According to the ONS’s SNPPs Harrow’s primary age children from 0 to 4 and 5 to 9 are projected to decrease between 2018 and 2028.  </w:t>
      </w:r>
    </w:p>
    <w:p w14:paraId="4FC93C8E" w14:textId="77777777" w:rsidR="003132ED" w:rsidRPr="00B511D4" w:rsidRDefault="003132ED" w:rsidP="003132ED">
      <w:pPr>
        <w:pStyle w:val="ListParagraph"/>
      </w:pPr>
    </w:p>
    <w:p w14:paraId="3F582CD5" w14:textId="7624EA6D" w:rsidR="006703F3" w:rsidRPr="00B511D4" w:rsidRDefault="003132ED" w:rsidP="003132ED">
      <w:r w:rsidRPr="00B511D4">
        <w:t>According to the ONS’s SNPPs Harrow’s secondary age children from 10 to 19 are projected to continue increasing;</w:t>
      </w:r>
    </w:p>
    <w:p w14:paraId="402694D9" w14:textId="77777777" w:rsidR="00C40020" w:rsidRDefault="00C40020" w:rsidP="00A16979"/>
    <w:p w14:paraId="34BCC44A" w14:textId="603188FD" w:rsidR="006703F3" w:rsidRPr="00B511D4" w:rsidRDefault="00C40020" w:rsidP="00A16979">
      <w:r>
        <w:t xml:space="preserve">Table 2: ONS 2018 SNPP by Age Groups </w:t>
      </w:r>
    </w:p>
    <w:tbl>
      <w:tblPr>
        <w:tblW w:w="9730" w:type="dxa"/>
        <w:tblInd w:w="93" w:type="dxa"/>
        <w:tblLook w:val="04A0" w:firstRow="1" w:lastRow="0" w:firstColumn="1" w:lastColumn="0" w:noHBand="0" w:noVBand="1"/>
      </w:tblPr>
      <w:tblGrid>
        <w:gridCol w:w="1460"/>
        <w:gridCol w:w="960"/>
        <w:gridCol w:w="960"/>
        <w:gridCol w:w="1060"/>
        <w:gridCol w:w="2605"/>
        <w:gridCol w:w="2685"/>
      </w:tblGrid>
      <w:tr w:rsidR="00C15C1F" w:rsidRPr="00B511D4" w14:paraId="150E011C" w14:textId="77777777" w:rsidTr="00C15C1F">
        <w:trPr>
          <w:trHeight w:val="315"/>
        </w:trPr>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764900" w14:textId="77777777" w:rsidR="00C15C1F" w:rsidRPr="00B511D4" w:rsidRDefault="00C15C1F" w:rsidP="00C15C1F">
            <w:pPr>
              <w:rPr>
                <w:b/>
                <w:bCs/>
                <w:color w:val="000000"/>
                <w:lang w:eastAsia="en-GB"/>
              </w:rPr>
            </w:pPr>
            <w:r w:rsidRPr="00B511D4">
              <w:rPr>
                <w:b/>
                <w:bCs/>
                <w:color w:val="000000"/>
                <w:lang w:eastAsia="en-GB"/>
              </w:rPr>
              <w:t>Age range</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33DB65BC" w14:textId="77777777" w:rsidR="00C15C1F" w:rsidRPr="00B511D4" w:rsidRDefault="00C15C1F" w:rsidP="00C15C1F">
            <w:pPr>
              <w:jc w:val="center"/>
              <w:rPr>
                <w:b/>
                <w:bCs/>
                <w:color w:val="000000"/>
                <w:lang w:eastAsia="en-GB"/>
              </w:rPr>
            </w:pPr>
            <w:r w:rsidRPr="00B511D4">
              <w:rPr>
                <w:b/>
                <w:bCs/>
                <w:color w:val="000000"/>
                <w:lang w:eastAsia="en-GB"/>
              </w:rPr>
              <w:t>2018</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02DAA3F5" w14:textId="77777777" w:rsidR="00C15C1F" w:rsidRPr="00B511D4" w:rsidRDefault="00C15C1F" w:rsidP="00C15C1F">
            <w:pPr>
              <w:jc w:val="center"/>
              <w:rPr>
                <w:b/>
                <w:bCs/>
                <w:color w:val="000000"/>
                <w:lang w:eastAsia="en-GB"/>
              </w:rPr>
            </w:pPr>
            <w:r w:rsidRPr="00B511D4">
              <w:rPr>
                <w:b/>
                <w:bCs/>
                <w:color w:val="000000"/>
                <w:lang w:eastAsia="en-GB"/>
              </w:rPr>
              <w:t>2023</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14:paraId="18D0AC7F" w14:textId="77777777" w:rsidR="00C15C1F" w:rsidRPr="00B511D4" w:rsidRDefault="00C15C1F" w:rsidP="00C15C1F">
            <w:pPr>
              <w:jc w:val="center"/>
              <w:rPr>
                <w:b/>
                <w:bCs/>
                <w:color w:val="000000"/>
                <w:lang w:eastAsia="en-GB"/>
              </w:rPr>
            </w:pPr>
            <w:r w:rsidRPr="00B511D4">
              <w:rPr>
                <w:b/>
                <w:bCs/>
                <w:color w:val="000000"/>
                <w:lang w:eastAsia="en-GB"/>
              </w:rPr>
              <w:t>2028</w:t>
            </w:r>
          </w:p>
        </w:tc>
        <w:tc>
          <w:tcPr>
            <w:tcW w:w="2605" w:type="dxa"/>
            <w:tcBorders>
              <w:top w:val="single" w:sz="4" w:space="0" w:color="auto"/>
              <w:left w:val="nil"/>
              <w:bottom w:val="single" w:sz="4" w:space="0" w:color="auto"/>
              <w:right w:val="single" w:sz="4" w:space="0" w:color="auto"/>
            </w:tcBorders>
            <w:shd w:val="clear" w:color="auto" w:fill="auto"/>
            <w:noWrap/>
            <w:vAlign w:val="center"/>
            <w:hideMark/>
          </w:tcPr>
          <w:p w14:paraId="18764A5A" w14:textId="77777777" w:rsidR="00C15C1F" w:rsidRPr="00B511D4" w:rsidRDefault="00C15C1F" w:rsidP="00C15C1F">
            <w:pPr>
              <w:jc w:val="center"/>
              <w:rPr>
                <w:b/>
                <w:bCs/>
                <w:color w:val="000000"/>
                <w:lang w:eastAsia="en-GB"/>
              </w:rPr>
            </w:pPr>
            <w:r w:rsidRPr="00B511D4">
              <w:rPr>
                <w:b/>
                <w:bCs/>
                <w:color w:val="000000"/>
                <w:lang w:eastAsia="en-GB"/>
              </w:rPr>
              <w:t># change 2018-2028</w:t>
            </w:r>
          </w:p>
        </w:tc>
        <w:tc>
          <w:tcPr>
            <w:tcW w:w="2685" w:type="dxa"/>
            <w:tcBorders>
              <w:top w:val="single" w:sz="4" w:space="0" w:color="auto"/>
              <w:left w:val="nil"/>
              <w:bottom w:val="single" w:sz="4" w:space="0" w:color="auto"/>
              <w:right w:val="single" w:sz="4" w:space="0" w:color="auto"/>
            </w:tcBorders>
            <w:shd w:val="clear" w:color="auto" w:fill="auto"/>
            <w:noWrap/>
            <w:vAlign w:val="center"/>
            <w:hideMark/>
          </w:tcPr>
          <w:p w14:paraId="0D0F0A62" w14:textId="77777777" w:rsidR="00C15C1F" w:rsidRPr="00B511D4" w:rsidRDefault="00C15C1F" w:rsidP="00C15C1F">
            <w:pPr>
              <w:jc w:val="center"/>
              <w:rPr>
                <w:b/>
                <w:bCs/>
                <w:color w:val="000000"/>
                <w:lang w:eastAsia="en-GB"/>
              </w:rPr>
            </w:pPr>
            <w:r w:rsidRPr="00B511D4">
              <w:rPr>
                <w:b/>
                <w:bCs/>
                <w:color w:val="000000"/>
                <w:lang w:eastAsia="en-GB"/>
              </w:rPr>
              <w:t>% change 2018-2028</w:t>
            </w:r>
          </w:p>
        </w:tc>
      </w:tr>
      <w:tr w:rsidR="00C15C1F" w:rsidRPr="00B511D4" w14:paraId="1B68F720" w14:textId="77777777" w:rsidTr="00C15C1F">
        <w:trPr>
          <w:trHeight w:val="300"/>
        </w:trPr>
        <w:tc>
          <w:tcPr>
            <w:tcW w:w="1460" w:type="dxa"/>
            <w:tcBorders>
              <w:top w:val="nil"/>
              <w:left w:val="single" w:sz="4" w:space="0" w:color="auto"/>
              <w:bottom w:val="single" w:sz="4" w:space="0" w:color="auto"/>
              <w:right w:val="single" w:sz="4" w:space="0" w:color="auto"/>
            </w:tcBorders>
            <w:shd w:val="clear" w:color="auto" w:fill="auto"/>
            <w:vAlign w:val="center"/>
            <w:hideMark/>
          </w:tcPr>
          <w:p w14:paraId="554D48CA" w14:textId="77777777" w:rsidR="00C15C1F" w:rsidRPr="00B511D4" w:rsidRDefault="00C15C1F" w:rsidP="00C15C1F">
            <w:pPr>
              <w:rPr>
                <w:color w:val="000000"/>
                <w:lang w:eastAsia="en-GB"/>
              </w:rPr>
            </w:pPr>
            <w:r w:rsidRPr="00B511D4">
              <w:rPr>
                <w:color w:val="000000"/>
                <w:lang w:eastAsia="en-GB"/>
              </w:rPr>
              <w:t>0-4</w:t>
            </w:r>
          </w:p>
        </w:tc>
        <w:tc>
          <w:tcPr>
            <w:tcW w:w="960" w:type="dxa"/>
            <w:tcBorders>
              <w:top w:val="nil"/>
              <w:left w:val="nil"/>
              <w:bottom w:val="single" w:sz="4" w:space="0" w:color="auto"/>
              <w:right w:val="single" w:sz="4" w:space="0" w:color="auto"/>
            </w:tcBorders>
            <w:shd w:val="clear" w:color="auto" w:fill="auto"/>
            <w:vAlign w:val="center"/>
            <w:hideMark/>
          </w:tcPr>
          <w:p w14:paraId="10EE6160" w14:textId="77777777" w:rsidR="00C15C1F" w:rsidRPr="00B511D4" w:rsidRDefault="00C15C1F" w:rsidP="00C15C1F">
            <w:pPr>
              <w:jc w:val="center"/>
              <w:rPr>
                <w:color w:val="000000"/>
                <w:lang w:eastAsia="en-GB"/>
              </w:rPr>
            </w:pPr>
            <w:r w:rsidRPr="00B511D4">
              <w:rPr>
                <w:color w:val="000000"/>
                <w:lang w:eastAsia="en-GB"/>
              </w:rPr>
              <w:t>17,745</w:t>
            </w:r>
          </w:p>
        </w:tc>
        <w:tc>
          <w:tcPr>
            <w:tcW w:w="960" w:type="dxa"/>
            <w:tcBorders>
              <w:top w:val="nil"/>
              <w:left w:val="nil"/>
              <w:bottom w:val="single" w:sz="4" w:space="0" w:color="auto"/>
              <w:right w:val="single" w:sz="4" w:space="0" w:color="auto"/>
            </w:tcBorders>
            <w:shd w:val="clear" w:color="auto" w:fill="auto"/>
            <w:vAlign w:val="center"/>
            <w:hideMark/>
          </w:tcPr>
          <w:p w14:paraId="241A5A3F" w14:textId="77777777" w:rsidR="00C15C1F" w:rsidRPr="00B511D4" w:rsidRDefault="00C15C1F" w:rsidP="00C15C1F">
            <w:pPr>
              <w:jc w:val="center"/>
              <w:rPr>
                <w:color w:val="000000"/>
                <w:lang w:eastAsia="en-GB"/>
              </w:rPr>
            </w:pPr>
            <w:r w:rsidRPr="00B511D4">
              <w:rPr>
                <w:color w:val="000000"/>
                <w:lang w:eastAsia="en-GB"/>
              </w:rPr>
              <w:t>15,732</w:t>
            </w:r>
          </w:p>
        </w:tc>
        <w:tc>
          <w:tcPr>
            <w:tcW w:w="1060" w:type="dxa"/>
            <w:tcBorders>
              <w:top w:val="nil"/>
              <w:left w:val="nil"/>
              <w:bottom w:val="single" w:sz="4" w:space="0" w:color="auto"/>
              <w:right w:val="single" w:sz="4" w:space="0" w:color="auto"/>
            </w:tcBorders>
            <w:shd w:val="clear" w:color="auto" w:fill="auto"/>
            <w:vAlign w:val="center"/>
            <w:hideMark/>
          </w:tcPr>
          <w:p w14:paraId="2204E979" w14:textId="77777777" w:rsidR="00C15C1F" w:rsidRPr="00B511D4" w:rsidRDefault="00C15C1F" w:rsidP="00C15C1F">
            <w:pPr>
              <w:jc w:val="center"/>
              <w:rPr>
                <w:color w:val="000000"/>
                <w:lang w:eastAsia="en-GB"/>
              </w:rPr>
            </w:pPr>
            <w:r w:rsidRPr="00B511D4">
              <w:rPr>
                <w:color w:val="000000"/>
                <w:lang w:eastAsia="en-GB"/>
              </w:rPr>
              <w:t>14,840</w:t>
            </w:r>
          </w:p>
        </w:tc>
        <w:tc>
          <w:tcPr>
            <w:tcW w:w="2605" w:type="dxa"/>
            <w:tcBorders>
              <w:top w:val="nil"/>
              <w:left w:val="nil"/>
              <w:bottom w:val="single" w:sz="4" w:space="0" w:color="auto"/>
              <w:right w:val="single" w:sz="4" w:space="0" w:color="auto"/>
            </w:tcBorders>
            <w:shd w:val="clear" w:color="auto" w:fill="auto"/>
            <w:noWrap/>
            <w:vAlign w:val="center"/>
            <w:hideMark/>
          </w:tcPr>
          <w:p w14:paraId="317D7E7B" w14:textId="77777777" w:rsidR="00C15C1F" w:rsidRPr="00B511D4" w:rsidRDefault="00C15C1F" w:rsidP="00C15C1F">
            <w:pPr>
              <w:jc w:val="center"/>
              <w:rPr>
                <w:color w:val="000000"/>
                <w:lang w:eastAsia="en-GB"/>
              </w:rPr>
            </w:pPr>
            <w:r w:rsidRPr="00B511D4">
              <w:rPr>
                <w:color w:val="000000"/>
                <w:lang w:eastAsia="en-GB"/>
              </w:rPr>
              <w:t>-2,905</w:t>
            </w:r>
          </w:p>
        </w:tc>
        <w:tc>
          <w:tcPr>
            <w:tcW w:w="2685" w:type="dxa"/>
            <w:tcBorders>
              <w:top w:val="nil"/>
              <w:left w:val="nil"/>
              <w:bottom w:val="single" w:sz="4" w:space="0" w:color="auto"/>
              <w:right w:val="single" w:sz="4" w:space="0" w:color="auto"/>
            </w:tcBorders>
            <w:shd w:val="clear" w:color="auto" w:fill="auto"/>
            <w:vAlign w:val="center"/>
            <w:hideMark/>
          </w:tcPr>
          <w:p w14:paraId="3669FF03" w14:textId="77777777" w:rsidR="00C15C1F" w:rsidRPr="00B511D4" w:rsidRDefault="00C15C1F" w:rsidP="00C15C1F">
            <w:pPr>
              <w:jc w:val="center"/>
              <w:rPr>
                <w:color w:val="000000"/>
                <w:lang w:eastAsia="en-GB"/>
              </w:rPr>
            </w:pPr>
            <w:r w:rsidRPr="00B511D4">
              <w:rPr>
                <w:color w:val="000000"/>
                <w:lang w:eastAsia="en-GB"/>
              </w:rPr>
              <w:t>-16.4%</w:t>
            </w:r>
          </w:p>
        </w:tc>
      </w:tr>
      <w:tr w:rsidR="00C15C1F" w:rsidRPr="00B511D4" w14:paraId="3831D2B5" w14:textId="77777777" w:rsidTr="00C15C1F">
        <w:trPr>
          <w:trHeight w:val="300"/>
        </w:trPr>
        <w:tc>
          <w:tcPr>
            <w:tcW w:w="1460" w:type="dxa"/>
            <w:tcBorders>
              <w:top w:val="nil"/>
              <w:left w:val="single" w:sz="4" w:space="0" w:color="auto"/>
              <w:bottom w:val="single" w:sz="4" w:space="0" w:color="auto"/>
              <w:right w:val="single" w:sz="4" w:space="0" w:color="auto"/>
            </w:tcBorders>
            <w:shd w:val="clear" w:color="auto" w:fill="auto"/>
            <w:vAlign w:val="center"/>
            <w:hideMark/>
          </w:tcPr>
          <w:p w14:paraId="24DD42B8" w14:textId="77777777" w:rsidR="00C15C1F" w:rsidRPr="00B511D4" w:rsidRDefault="00C15C1F" w:rsidP="00C15C1F">
            <w:pPr>
              <w:rPr>
                <w:color w:val="000000"/>
                <w:lang w:eastAsia="en-GB"/>
              </w:rPr>
            </w:pPr>
            <w:r w:rsidRPr="00B511D4">
              <w:rPr>
                <w:color w:val="000000"/>
                <w:lang w:eastAsia="en-GB"/>
              </w:rPr>
              <w:t>0-9</w:t>
            </w:r>
          </w:p>
        </w:tc>
        <w:tc>
          <w:tcPr>
            <w:tcW w:w="960" w:type="dxa"/>
            <w:tcBorders>
              <w:top w:val="nil"/>
              <w:left w:val="nil"/>
              <w:bottom w:val="single" w:sz="4" w:space="0" w:color="auto"/>
              <w:right w:val="single" w:sz="4" w:space="0" w:color="auto"/>
            </w:tcBorders>
            <w:shd w:val="clear" w:color="auto" w:fill="auto"/>
            <w:vAlign w:val="center"/>
            <w:hideMark/>
          </w:tcPr>
          <w:p w14:paraId="57555A3E" w14:textId="77777777" w:rsidR="00C15C1F" w:rsidRPr="00B511D4" w:rsidRDefault="00C15C1F" w:rsidP="00C15C1F">
            <w:pPr>
              <w:jc w:val="center"/>
              <w:rPr>
                <w:color w:val="000000"/>
                <w:lang w:eastAsia="en-GB"/>
              </w:rPr>
            </w:pPr>
            <w:r w:rsidRPr="00B511D4">
              <w:rPr>
                <w:color w:val="000000"/>
                <w:lang w:eastAsia="en-GB"/>
              </w:rPr>
              <w:t>16,783</w:t>
            </w:r>
          </w:p>
        </w:tc>
        <w:tc>
          <w:tcPr>
            <w:tcW w:w="960" w:type="dxa"/>
            <w:tcBorders>
              <w:top w:val="nil"/>
              <w:left w:val="nil"/>
              <w:bottom w:val="single" w:sz="4" w:space="0" w:color="auto"/>
              <w:right w:val="single" w:sz="4" w:space="0" w:color="auto"/>
            </w:tcBorders>
            <w:shd w:val="clear" w:color="auto" w:fill="auto"/>
            <w:vAlign w:val="center"/>
            <w:hideMark/>
          </w:tcPr>
          <w:p w14:paraId="0073EEB8" w14:textId="77777777" w:rsidR="00C15C1F" w:rsidRPr="00B511D4" w:rsidRDefault="00C15C1F" w:rsidP="00C15C1F">
            <w:pPr>
              <w:jc w:val="center"/>
              <w:rPr>
                <w:color w:val="000000"/>
                <w:lang w:eastAsia="en-GB"/>
              </w:rPr>
            </w:pPr>
            <w:r w:rsidRPr="00B511D4">
              <w:rPr>
                <w:color w:val="000000"/>
                <w:lang w:eastAsia="en-GB"/>
              </w:rPr>
              <w:t>16,919</w:t>
            </w:r>
          </w:p>
        </w:tc>
        <w:tc>
          <w:tcPr>
            <w:tcW w:w="1060" w:type="dxa"/>
            <w:tcBorders>
              <w:top w:val="nil"/>
              <w:left w:val="nil"/>
              <w:bottom w:val="single" w:sz="4" w:space="0" w:color="auto"/>
              <w:right w:val="single" w:sz="4" w:space="0" w:color="auto"/>
            </w:tcBorders>
            <w:shd w:val="clear" w:color="auto" w:fill="auto"/>
            <w:vAlign w:val="center"/>
            <w:hideMark/>
          </w:tcPr>
          <w:p w14:paraId="7A99B56C" w14:textId="77777777" w:rsidR="00C15C1F" w:rsidRPr="00B511D4" w:rsidRDefault="00C15C1F" w:rsidP="00C15C1F">
            <w:pPr>
              <w:jc w:val="center"/>
              <w:rPr>
                <w:color w:val="000000"/>
                <w:lang w:eastAsia="en-GB"/>
              </w:rPr>
            </w:pPr>
            <w:r w:rsidRPr="00B511D4">
              <w:rPr>
                <w:color w:val="000000"/>
                <w:lang w:eastAsia="en-GB"/>
              </w:rPr>
              <w:t>15,059</w:t>
            </w:r>
          </w:p>
        </w:tc>
        <w:tc>
          <w:tcPr>
            <w:tcW w:w="2605" w:type="dxa"/>
            <w:tcBorders>
              <w:top w:val="nil"/>
              <w:left w:val="nil"/>
              <w:bottom w:val="single" w:sz="4" w:space="0" w:color="auto"/>
              <w:right w:val="single" w:sz="4" w:space="0" w:color="auto"/>
            </w:tcBorders>
            <w:shd w:val="clear" w:color="auto" w:fill="auto"/>
            <w:noWrap/>
            <w:vAlign w:val="center"/>
            <w:hideMark/>
          </w:tcPr>
          <w:p w14:paraId="75D1F35B" w14:textId="77777777" w:rsidR="00C15C1F" w:rsidRPr="00B511D4" w:rsidRDefault="00C15C1F" w:rsidP="00C15C1F">
            <w:pPr>
              <w:jc w:val="center"/>
              <w:rPr>
                <w:color w:val="000000"/>
                <w:lang w:eastAsia="en-GB"/>
              </w:rPr>
            </w:pPr>
            <w:r w:rsidRPr="00B511D4">
              <w:rPr>
                <w:color w:val="000000"/>
                <w:lang w:eastAsia="en-GB"/>
              </w:rPr>
              <w:t>-1,724</w:t>
            </w:r>
          </w:p>
        </w:tc>
        <w:tc>
          <w:tcPr>
            <w:tcW w:w="2685" w:type="dxa"/>
            <w:tcBorders>
              <w:top w:val="nil"/>
              <w:left w:val="nil"/>
              <w:bottom w:val="single" w:sz="4" w:space="0" w:color="auto"/>
              <w:right w:val="single" w:sz="4" w:space="0" w:color="auto"/>
            </w:tcBorders>
            <w:shd w:val="clear" w:color="auto" w:fill="auto"/>
            <w:vAlign w:val="center"/>
            <w:hideMark/>
          </w:tcPr>
          <w:p w14:paraId="1271F0DC" w14:textId="77777777" w:rsidR="00C15C1F" w:rsidRPr="00B511D4" w:rsidRDefault="00C15C1F" w:rsidP="00C15C1F">
            <w:pPr>
              <w:jc w:val="center"/>
              <w:rPr>
                <w:color w:val="000000"/>
                <w:lang w:eastAsia="en-GB"/>
              </w:rPr>
            </w:pPr>
            <w:r w:rsidRPr="00B511D4">
              <w:rPr>
                <w:color w:val="000000"/>
                <w:lang w:eastAsia="en-GB"/>
              </w:rPr>
              <w:t>-10.3%</w:t>
            </w:r>
          </w:p>
        </w:tc>
      </w:tr>
      <w:tr w:rsidR="00C15C1F" w:rsidRPr="00B511D4" w14:paraId="605917E8" w14:textId="77777777" w:rsidTr="00C15C1F">
        <w:trPr>
          <w:trHeight w:val="300"/>
        </w:trPr>
        <w:tc>
          <w:tcPr>
            <w:tcW w:w="1460" w:type="dxa"/>
            <w:tcBorders>
              <w:top w:val="nil"/>
              <w:left w:val="single" w:sz="4" w:space="0" w:color="auto"/>
              <w:bottom w:val="single" w:sz="4" w:space="0" w:color="auto"/>
              <w:right w:val="single" w:sz="4" w:space="0" w:color="auto"/>
            </w:tcBorders>
            <w:shd w:val="clear" w:color="auto" w:fill="auto"/>
            <w:vAlign w:val="center"/>
            <w:hideMark/>
          </w:tcPr>
          <w:p w14:paraId="6A6D38BA" w14:textId="77777777" w:rsidR="00C15C1F" w:rsidRPr="00B511D4" w:rsidRDefault="00C15C1F" w:rsidP="00C15C1F">
            <w:pPr>
              <w:rPr>
                <w:color w:val="000000"/>
                <w:lang w:eastAsia="en-GB"/>
              </w:rPr>
            </w:pPr>
            <w:r w:rsidRPr="00B511D4">
              <w:rPr>
                <w:color w:val="000000"/>
                <w:lang w:eastAsia="en-GB"/>
              </w:rPr>
              <w:t>10-14</w:t>
            </w:r>
          </w:p>
        </w:tc>
        <w:tc>
          <w:tcPr>
            <w:tcW w:w="960" w:type="dxa"/>
            <w:tcBorders>
              <w:top w:val="nil"/>
              <w:left w:val="nil"/>
              <w:bottom w:val="single" w:sz="4" w:space="0" w:color="auto"/>
              <w:right w:val="single" w:sz="4" w:space="0" w:color="auto"/>
            </w:tcBorders>
            <w:shd w:val="clear" w:color="auto" w:fill="auto"/>
            <w:vAlign w:val="center"/>
            <w:hideMark/>
          </w:tcPr>
          <w:p w14:paraId="7B2622A4" w14:textId="77777777" w:rsidR="00C15C1F" w:rsidRPr="00B511D4" w:rsidRDefault="00C15C1F" w:rsidP="00C15C1F">
            <w:pPr>
              <w:jc w:val="center"/>
              <w:rPr>
                <w:color w:val="000000"/>
                <w:lang w:eastAsia="en-GB"/>
              </w:rPr>
            </w:pPr>
            <w:r w:rsidRPr="00B511D4">
              <w:rPr>
                <w:color w:val="000000"/>
                <w:lang w:eastAsia="en-GB"/>
              </w:rPr>
              <w:t>15,080</w:t>
            </w:r>
          </w:p>
        </w:tc>
        <w:tc>
          <w:tcPr>
            <w:tcW w:w="960" w:type="dxa"/>
            <w:tcBorders>
              <w:top w:val="nil"/>
              <w:left w:val="nil"/>
              <w:bottom w:val="single" w:sz="4" w:space="0" w:color="auto"/>
              <w:right w:val="single" w:sz="4" w:space="0" w:color="auto"/>
            </w:tcBorders>
            <w:shd w:val="clear" w:color="auto" w:fill="auto"/>
            <w:vAlign w:val="center"/>
            <w:hideMark/>
          </w:tcPr>
          <w:p w14:paraId="010BDD13" w14:textId="77777777" w:rsidR="00C15C1F" w:rsidRPr="00B511D4" w:rsidRDefault="00C15C1F" w:rsidP="00C15C1F">
            <w:pPr>
              <w:jc w:val="center"/>
              <w:rPr>
                <w:color w:val="000000"/>
                <w:lang w:eastAsia="en-GB"/>
              </w:rPr>
            </w:pPr>
            <w:r w:rsidRPr="00B511D4">
              <w:rPr>
                <w:color w:val="000000"/>
                <w:lang w:eastAsia="en-GB"/>
              </w:rPr>
              <w:t>16,417</w:t>
            </w:r>
          </w:p>
        </w:tc>
        <w:tc>
          <w:tcPr>
            <w:tcW w:w="1060" w:type="dxa"/>
            <w:tcBorders>
              <w:top w:val="nil"/>
              <w:left w:val="nil"/>
              <w:bottom w:val="single" w:sz="4" w:space="0" w:color="auto"/>
              <w:right w:val="single" w:sz="4" w:space="0" w:color="auto"/>
            </w:tcBorders>
            <w:shd w:val="clear" w:color="auto" w:fill="auto"/>
            <w:vAlign w:val="center"/>
            <w:hideMark/>
          </w:tcPr>
          <w:p w14:paraId="3F2CE02B" w14:textId="77777777" w:rsidR="00C15C1F" w:rsidRPr="00B511D4" w:rsidRDefault="00C15C1F" w:rsidP="00C15C1F">
            <w:pPr>
              <w:jc w:val="center"/>
              <w:rPr>
                <w:color w:val="000000"/>
                <w:lang w:eastAsia="en-GB"/>
              </w:rPr>
            </w:pPr>
            <w:r w:rsidRPr="00B511D4">
              <w:rPr>
                <w:color w:val="000000"/>
                <w:lang w:eastAsia="en-GB"/>
              </w:rPr>
              <w:t>16,378</w:t>
            </w:r>
          </w:p>
        </w:tc>
        <w:tc>
          <w:tcPr>
            <w:tcW w:w="2605" w:type="dxa"/>
            <w:tcBorders>
              <w:top w:val="nil"/>
              <w:left w:val="nil"/>
              <w:bottom w:val="single" w:sz="4" w:space="0" w:color="auto"/>
              <w:right w:val="single" w:sz="4" w:space="0" w:color="auto"/>
            </w:tcBorders>
            <w:shd w:val="clear" w:color="auto" w:fill="auto"/>
            <w:noWrap/>
            <w:vAlign w:val="center"/>
            <w:hideMark/>
          </w:tcPr>
          <w:p w14:paraId="37A0A94A" w14:textId="77777777" w:rsidR="00C15C1F" w:rsidRPr="00B511D4" w:rsidRDefault="00C15C1F" w:rsidP="00C15C1F">
            <w:pPr>
              <w:jc w:val="center"/>
              <w:rPr>
                <w:color w:val="000000"/>
                <w:lang w:eastAsia="en-GB"/>
              </w:rPr>
            </w:pPr>
            <w:r w:rsidRPr="00B511D4">
              <w:rPr>
                <w:color w:val="000000"/>
                <w:lang w:eastAsia="en-GB"/>
              </w:rPr>
              <w:t>1,298</w:t>
            </w:r>
          </w:p>
        </w:tc>
        <w:tc>
          <w:tcPr>
            <w:tcW w:w="2685" w:type="dxa"/>
            <w:tcBorders>
              <w:top w:val="nil"/>
              <w:left w:val="nil"/>
              <w:bottom w:val="single" w:sz="4" w:space="0" w:color="auto"/>
              <w:right w:val="single" w:sz="4" w:space="0" w:color="auto"/>
            </w:tcBorders>
            <w:shd w:val="clear" w:color="auto" w:fill="auto"/>
            <w:vAlign w:val="center"/>
            <w:hideMark/>
          </w:tcPr>
          <w:p w14:paraId="298B4EC1" w14:textId="77777777" w:rsidR="00C15C1F" w:rsidRPr="00B511D4" w:rsidRDefault="00C15C1F" w:rsidP="00C15C1F">
            <w:pPr>
              <w:jc w:val="center"/>
              <w:rPr>
                <w:color w:val="000000"/>
                <w:lang w:eastAsia="en-GB"/>
              </w:rPr>
            </w:pPr>
            <w:r w:rsidRPr="00B511D4">
              <w:rPr>
                <w:color w:val="000000"/>
                <w:lang w:eastAsia="en-GB"/>
              </w:rPr>
              <w:t>8.6%</w:t>
            </w:r>
          </w:p>
        </w:tc>
      </w:tr>
      <w:tr w:rsidR="00C15C1F" w:rsidRPr="00B511D4" w14:paraId="79914A92" w14:textId="77777777" w:rsidTr="00C15C1F">
        <w:trPr>
          <w:trHeight w:val="300"/>
        </w:trPr>
        <w:tc>
          <w:tcPr>
            <w:tcW w:w="1460" w:type="dxa"/>
            <w:tcBorders>
              <w:top w:val="nil"/>
              <w:left w:val="single" w:sz="4" w:space="0" w:color="auto"/>
              <w:bottom w:val="single" w:sz="4" w:space="0" w:color="auto"/>
              <w:right w:val="single" w:sz="4" w:space="0" w:color="auto"/>
            </w:tcBorders>
            <w:shd w:val="clear" w:color="auto" w:fill="auto"/>
            <w:noWrap/>
            <w:vAlign w:val="center"/>
            <w:hideMark/>
          </w:tcPr>
          <w:p w14:paraId="54F6F84C" w14:textId="77777777" w:rsidR="00C15C1F" w:rsidRPr="00B511D4" w:rsidRDefault="00C15C1F" w:rsidP="00C15C1F">
            <w:pPr>
              <w:rPr>
                <w:color w:val="000000"/>
                <w:lang w:eastAsia="en-GB"/>
              </w:rPr>
            </w:pPr>
            <w:r w:rsidRPr="00B511D4">
              <w:rPr>
                <w:color w:val="000000"/>
                <w:lang w:eastAsia="en-GB"/>
              </w:rPr>
              <w:t>15-19</w:t>
            </w:r>
          </w:p>
        </w:tc>
        <w:tc>
          <w:tcPr>
            <w:tcW w:w="960" w:type="dxa"/>
            <w:tcBorders>
              <w:top w:val="nil"/>
              <w:left w:val="nil"/>
              <w:bottom w:val="single" w:sz="4" w:space="0" w:color="auto"/>
              <w:right w:val="single" w:sz="4" w:space="0" w:color="auto"/>
            </w:tcBorders>
            <w:shd w:val="clear" w:color="auto" w:fill="auto"/>
            <w:noWrap/>
            <w:vAlign w:val="center"/>
            <w:hideMark/>
          </w:tcPr>
          <w:p w14:paraId="21A04D5C" w14:textId="77777777" w:rsidR="00C15C1F" w:rsidRPr="00B511D4" w:rsidRDefault="00C15C1F" w:rsidP="00C15C1F">
            <w:pPr>
              <w:jc w:val="center"/>
              <w:rPr>
                <w:color w:val="000000"/>
                <w:lang w:eastAsia="en-GB"/>
              </w:rPr>
            </w:pPr>
            <w:r w:rsidRPr="00B511D4">
              <w:rPr>
                <w:color w:val="000000"/>
                <w:lang w:eastAsia="en-GB"/>
              </w:rPr>
              <w:t>13,767</w:t>
            </w:r>
          </w:p>
        </w:tc>
        <w:tc>
          <w:tcPr>
            <w:tcW w:w="960" w:type="dxa"/>
            <w:tcBorders>
              <w:top w:val="nil"/>
              <w:left w:val="nil"/>
              <w:bottom w:val="single" w:sz="4" w:space="0" w:color="auto"/>
              <w:right w:val="single" w:sz="4" w:space="0" w:color="auto"/>
            </w:tcBorders>
            <w:shd w:val="clear" w:color="auto" w:fill="auto"/>
            <w:noWrap/>
            <w:vAlign w:val="center"/>
            <w:hideMark/>
          </w:tcPr>
          <w:p w14:paraId="1DC47C6B" w14:textId="77777777" w:rsidR="00C15C1F" w:rsidRPr="00B511D4" w:rsidRDefault="00C15C1F" w:rsidP="00C15C1F">
            <w:pPr>
              <w:jc w:val="center"/>
              <w:rPr>
                <w:color w:val="000000"/>
                <w:lang w:eastAsia="en-GB"/>
              </w:rPr>
            </w:pPr>
            <w:r w:rsidRPr="00B511D4">
              <w:rPr>
                <w:color w:val="000000"/>
                <w:lang w:eastAsia="en-GB"/>
              </w:rPr>
              <w:t>13981</w:t>
            </w:r>
          </w:p>
        </w:tc>
        <w:tc>
          <w:tcPr>
            <w:tcW w:w="1060" w:type="dxa"/>
            <w:tcBorders>
              <w:top w:val="nil"/>
              <w:left w:val="nil"/>
              <w:bottom w:val="single" w:sz="4" w:space="0" w:color="auto"/>
              <w:right w:val="single" w:sz="4" w:space="0" w:color="auto"/>
            </w:tcBorders>
            <w:shd w:val="clear" w:color="auto" w:fill="auto"/>
            <w:noWrap/>
            <w:vAlign w:val="center"/>
            <w:hideMark/>
          </w:tcPr>
          <w:p w14:paraId="15E5DEFA" w14:textId="77777777" w:rsidR="00C15C1F" w:rsidRPr="00B511D4" w:rsidRDefault="00C15C1F" w:rsidP="00C15C1F">
            <w:pPr>
              <w:jc w:val="center"/>
              <w:rPr>
                <w:color w:val="000000"/>
                <w:lang w:eastAsia="en-GB"/>
              </w:rPr>
            </w:pPr>
            <w:r w:rsidRPr="00B511D4">
              <w:rPr>
                <w:color w:val="000000"/>
                <w:lang w:eastAsia="en-GB"/>
              </w:rPr>
              <w:t>15,142</w:t>
            </w:r>
          </w:p>
        </w:tc>
        <w:tc>
          <w:tcPr>
            <w:tcW w:w="2605" w:type="dxa"/>
            <w:tcBorders>
              <w:top w:val="nil"/>
              <w:left w:val="nil"/>
              <w:bottom w:val="single" w:sz="4" w:space="0" w:color="auto"/>
              <w:right w:val="single" w:sz="4" w:space="0" w:color="auto"/>
            </w:tcBorders>
            <w:shd w:val="clear" w:color="auto" w:fill="auto"/>
            <w:noWrap/>
            <w:vAlign w:val="center"/>
            <w:hideMark/>
          </w:tcPr>
          <w:p w14:paraId="2EA7E8F3" w14:textId="77777777" w:rsidR="00C15C1F" w:rsidRPr="00B511D4" w:rsidRDefault="00C15C1F" w:rsidP="00C15C1F">
            <w:pPr>
              <w:jc w:val="center"/>
              <w:rPr>
                <w:color w:val="000000"/>
                <w:lang w:eastAsia="en-GB"/>
              </w:rPr>
            </w:pPr>
            <w:r w:rsidRPr="00B511D4">
              <w:rPr>
                <w:color w:val="000000"/>
                <w:lang w:eastAsia="en-GB"/>
              </w:rPr>
              <w:t>1,375</w:t>
            </w:r>
          </w:p>
        </w:tc>
        <w:tc>
          <w:tcPr>
            <w:tcW w:w="2685" w:type="dxa"/>
            <w:tcBorders>
              <w:top w:val="nil"/>
              <w:left w:val="nil"/>
              <w:bottom w:val="single" w:sz="4" w:space="0" w:color="auto"/>
              <w:right w:val="single" w:sz="4" w:space="0" w:color="auto"/>
            </w:tcBorders>
            <w:shd w:val="clear" w:color="auto" w:fill="auto"/>
            <w:vAlign w:val="center"/>
            <w:hideMark/>
          </w:tcPr>
          <w:p w14:paraId="7AA07ABB" w14:textId="77777777" w:rsidR="00C15C1F" w:rsidRPr="00B511D4" w:rsidRDefault="00C15C1F" w:rsidP="00C15C1F">
            <w:pPr>
              <w:jc w:val="center"/>
              <w:rPr>
                <w:color w:val="000000"/>
                <w:lang w:eastAsia="en-GB"/>
              </w:rPr>
            </w:pPr>
            <w:r w:rsidRPr="00B511D4">
              <w:rPr>
                <w:color w:val="000000"/>
                <w:lang w:eastAsia="en-GB"/>
              </w:rPr>
              <w:t>10.0%</w:t>
            </w:r>
          </w:p>
        </w:tc>
      </w:tr>
      <w:tr w:rsidR="00C15C1F" w:rsidRPr="00B511D4" w14:paraId="0FE0351B" w14:textId="77777777" w:rsidTr="00C15C1F">
        <w:trPr>
          <w:trHeight w:val="300"/>
        </w:trPr>
        <w:tc>
          <w:tcPr>
            <w:tcW w:w="1460" w:type="dxa"/>
            <w:tcBorders>
              <w:top w:val="nil"/>
              <w:left w:val="single" w:sz="4" w:space="0" w:color="auto"/>
              <w:bottom w:val="single" w:sz="4" w:space="0" w:color="auto"/>
              <w:right w:val="single" w:sz="4" w:space="0" w:color="auto"/>
            </w:tcBorders>
            <w:shd w:val="clear" w:color="auto" w:fill="auto"/>
            <w:vAlign w:val="center"/>
            <w:hideMark/>
          </w:tcPr>
          <w:p w14:paraId="55E6BFCB" w14:textId="77777777" w:rsidR="00C15C1F" w:rsidRPr="00B511D4" w:rsidRDefault="00C15C1F" w:rsidP="00C15C1F">
            <w:pPr>
              <w:rPr>
                <w:color w:val="000000"/>
                <w:lang w:eastAsia="en-GB"/>
              </w:rPr>
            </w:pPr>
            <w:r w:rsidRPr="00B511D4">
              <w:rPr>
                <w:color w:val="000000"/>
                <w:lang w:eastAsia="en-GB"/>
              </w:rPr>
              <w:t>20-24</w:t>
            </w:r>
          </w:p>
        </w:tc>
        <w:tc>
          <w:tcPr>
            <w:tcW w:w="960" w:type="dxa"/>
            <w:tcBorders>
              <w:top w:val="nil"/>
              <w:left w:val="nil"/>
              <w:bottom w:val="single" w:sz="4" w:space="0" w:color="auto"/>
              <w:right w:val="single" w:sz="4" w:space="0" w:color="auto"/>
            </w:tcBorders>
            <w:shd w:val="clear" w:color="auto" w:fill="auto"/>
            <w:vAlign w:val="center"/>
            <w:hideMark/>
          </w:tcPr>
          <w:p w14:paraId="1058B939" w14:textId="77777777" w:rsidR="00C15C1F" w:rsidRPr="00B511D4" w:rsidRDefault="00C15C1F" w:rsidP="00C15C1F">
            <w:pPr>
              <w:jc w:val="center"/>
              <w:rPr>
                <w:color w:val="000000"/>
                <w:lang w:eastAsia="en-GB"/>
              </w:rPr>
            </w:pPr>
            <w:r w:rsidRPr="00B511D4">
              <w:rPr>
                <w:color w:val="000000"/>
                <w:lang w:eastAsia="en-GB"/>
              </w:rPr>
              <w:t>13,528</w:t>
            </w:r>
          </w:p>
        </w:tc>
        <w:tc>
          <w:tcPr>
            <w:tcW w:w="960" w:type="dxa"/>
            <w:tcBorders>
              <w:top w:val="nil"/>
              <w:left w:val="nil"/>
              <w:bottom w:val="single" w:sz="4" w:space="0" w:color="auto"/>
              <w:right w:val="single" w:sz="4" w:space="0" w:color="auto"/>
            </w:tcBorders>
            <w:shd w:val="clear" w:color="auto" w:fill="auto"/>
            <w:vAlign w:val="center"/>
            <w:hideMark/>
          </w:tcPr>
          <w:p w14:paraId="36C67774" w14:textId="77777777" w:rsidR="00C15C1F" w:rsidRPr="00B511D4" w:rsidRDefault="00C15C1F" w:rsidP="00C15C1F">
            <w:pPr>
              <w:jc w:val="center"/>
              <w:rPr>
                <w:color w:val="000000"/>
                <w:lang w:eastAsia="en-GB"/>
              </w:rPr>
            </w:pPr>
            <w:r w:rsidRPr="00B511D4">
              <w:rPr>
                <w:color w:val="000000"/>
                <w:lang w:eastAsia="en-GB"/>
              </w:rPr>
              <w:t>11,880</w:t>
            </w:r>
          </w:p>
        </w:tc>
        <w:tc>
          <w:tcPr>
            <w:tcW w:w="1060" w:type="dxa"/>
            <w:tcBorders>
              <w:top w:val="nil"/>
              <w:left w:val="nil"/>
              <w:bottom w:val="single" w:sz="4" w:space="0" w:color="auto"/>
              <w:right w:val="single" w:sz="4" w:space="0" w:color="auto"/>
            </w:tcBorders>
            <w:shd w:val="clear" w:color="auto" w:fill="auto"/>
            <w:vAlign w:val="center"/>
            <w:hideMark/>
          </w:tcPr>
          <w:p w14:paraId="76E17C5F" w14:textId="77777777" w:rsidR="00C15C1F" w:rsidRPr="00B511D4" w:rsidRDefault="00C15C1F" w:rsidP="00C15C1F">
            <w:pPr>
              <w:jc w:val="center"/>
              <w:rPr>
                <w:color w:val="000000"/>
                <w:lang w:eastAsia="en-GB"/>
              </w:rPr>
            </w:pPr>
            <w:r w:rsidRPr="00B511D4">
              <w:rPr>
                <w:color w:val="000000"/>
                <w:lang w:eastAsia="en-GB"/>
              </w:rPr>
              <w:t>11,710</w:t>
            </w:r>
          </w:p>
        </w:tc>
        <w:tc>
          <w:tcPr>
            <w:tcW w:w="2605" w:type="dxa"/>
            <w:tcBorders>
              <w:top w:val="nil"/>
              <w:left w:val="nil"/>
              <w:bottom w:val="single" w:sz="4" w:space="0" w:color="auto"/>
              <w:right w:val="single" w:sz="4" w:space="0" w:color="auto"/>
            </w:tcBorders>
            <w:shd w:val="clear" w:color="auto" w:fill="auto"/>
            <w:noWrap/>
            <w:vAlign w:val="center"/>
            <w:hideMark/>
          </w:tcPr>
          <w:p w14:paraId="436D438B" w14:textId="77777777" w:rsidR="00C15C1F" w:rsidRPr="00B511D4" w:rsidRDefault="00C15C1F" w:rsidP="00C15C1F">
            <w:pPr>
              <w:jc w:val="center"/>
              <w:rPr>
                <w:color w:val="000000"/>
                <w:lang w:eastAsia="en-GB"/>
              </w:rPr>
            </w:pPr>
            <w:r w:rsidRPr="00B511D4">
              <w:rPr>
                <w:color w:val="000000"/>
                <w:lang w:eastAsia="en-GB"/>
              </w:rPr>
              <w:t>-1,818</w:t>
            </w:r>
          </w:p>
        </w:tc>
        <w:tc>
          <w:tcPr>
            <w:tcW w:w="2685" w:type="dxa"/>
            <w:tcBorders>
              <w:top w:val="nil"/>
              <w:left w:val="nil"/>
              <w:bottom w:val="single" w:sz="4" w:space="0" w:color="auto"/>
              <w:right w:val="single" w:sz="4" w:space="0" w:color="auto"/>
            </w:tcBorders>
            <w:shd w:val="clear" w:color="auto" w:fill="auto"/>
            <w:vAlign w:val="center"/>
            <w:hideMark/>
          </w:tcPr>
          <w:p w14:paraId="51C50F13" w14:textId="77777777" w:rsidR="00C15C1F" w:rsidRPr="00B511D4" w:rsidRDefault="00C15C1F" w:rsidP="00C15C1F">
            <w:pPr>
              <w:jc w:val="center"/>
              <w:rPr>
                <w:color w:val="000000"/>
                <w:lang w:eastAsia="en-GB"/>
              </w:rPr>
            </w:pPr>
            <w:r w:rsidRPr="00B511D4">
              <w:rPr>
                <w:color w:val="000000"/>
                <w:lang w:eastAsia="en-GB"/>
              </w:rPr>
              <w:t>-13.4%</w:t>
            </w:r>
          </w:p>
        </w:tc>
      </w:tr>
    </w:tbl>
    <w:p w14:paraId="72AA706A" w14:textId="3D69262E" w:rsidR="00FC4B9D" w:rsidRPr="00B511D4" w:rsidRDefault="00BF7B0E" w:rsidP="00A16979">
      <w:pPr>
        <w:rPr>
          <w:sz w:val="20"/>
          <w:szCs w:val="20"/>
        </w:rPr>
      </w:pPr>
      <w:r w:rsidRPr="00B511D4">
        <w:rPr>
          <w:sz w:val="20"/>
          <w:szCs w:val="20"/>
        </w:rPr>
        <w:t>Source: 2018 SNPP table2</w:t>
      </w:r>
    </w:p>
    <w:p w14:paraId="0FA779EA" w14:textId="77777777" w:rsidR="00FC4B9D" w:rsidRPr="00B511D4" w:rsidRDefault="00FC4B9D" w:rsidP="00A16979"/>
    <w:p w14:paraId="53D0F6F2" w14:textId="503763E6" w:rsidR="00222112" w:rsidRPr="00023E79" w:rsidRDefault="00023E79">
      <w:pPr>
        <w:rPr>
          <w:bCs/>
        </w:rPr>
      </w:pPr>
      <w:r w:rsidRPr="00B511D4">
        <w:rPr>
          <w:bCs/>
        </w:rPr>
        <w:t>The ONS is yet to announce when the latest SNPP will be available.</w:t>
      </w:r>
      <w:r w:rsidR="00222112" w:rsidRPr="00023E79">
        <w:rPr>
          <w:bCs/>
        </w:rPr>
        <w:br w:type="page"/>
      </w:r>
    </w:p>
    <w:p w14:paraId="273B970C" w14:textId="4F4E0D46" w:rsidR="005F44BF" w:rsidRPr="002822D7" w:rsidRDefault="005F44BF" w:rsidP="00A16979">
      <w:pPr>
        <w:rPr>
          <w:b/>
        </w:rPr>
      </w:pPr>
      <w:r w:rsidRPr="002822D7">
        <w:rPr>
          <w:b/>
        </w:rPr>
        <w:lastRenderedPageBreak/>
        <w:t>GLA Borough Preferred Option</w:t>
      </w:r>
      <w:r w:rsidR="00F76EA4" w:rsidRPr="002822D7">
        <w:rPr>
          <w:b/>
        </w:rPr>
        <w:t xml:space="preserve"> Population Projections</w:t>
      </w:r>
    </w:p>
    <w:p w14:paraId="71D232AE" w14:textId="77777777" w:rsidR="0068398F" w:rsidRPr="002822D7" w:rsidRDefault="0068398F" w:rsidP="00A16979">
      <w:pPr>
        <w:rPr>
          <w:bCs/>
        </w:rPr>
      </w:pPr>
    </w:p>
    <w:p w14:paraId="00601D3C" w14:textId="3AF57640" w:rsidR="0068398F" w:rsidRPr="002822D7" w:rsidRDefault="0068398F" w:rsidP="00A16979">
      <w:pPr>
        <w:rPr>
          <w:bCs/>
        </w:rPr>
      </w:pPr>
      <w:r w:rsidRPr="002822D7">
        <w:rPr>
          <w:bCs/>
        </w:rPr>
        <w:t>The 2020-based BPO projections have been produced with a newly developed small area population model. This model has been developed to reduce reliance on 2011 census inputs in the modelling process. As a result, the model is able to run projections not only for census (2013) wards but also for updated wards including 2022 ward boundaries.</w:t>
      </w:r>
    </w:p>
    <w:p w14:paraId="0CFCFC8C" w14:textId="77777777" w:rsidR="0068398F" w:rsidRPr="002822D7" w:rsidRDefault="0068398F" w:rsidP="00DD04DB">
      <w:pPr>
        <w:pStyle w:val="Default"/>
        <w:rPr>
          <w:rFonts w:ascii="Arial" w:hAnsi="Arial" w:cs="Arial"/>
          <w:color w:val="333333"/>
          <w:shd w:val="clear" w:color="auto" w:fill="FFFFFF"/>
        </w:rPr>
      </w:pPr>
    </w:p>
    <w:p w14:paraId="7E892E21" w14:textId="77777777" w:rsidR="00685759" w:rsidRDefault="007C5CA7" w:rsidP="00DD04DB">
      <w:pPr>
        <w:pStyle w:val="Default"/>
        <w:rPr>
          <w:rFonts w:ascii="Arial" w:hAnsi="Arial" w:cs="Arial"/>
          <w:color w:val="auto"/>
        </w:rPr>
      </w:pPr>
      <w:r w:rsidRPr="002822D7">
        <w:rPr>
          <w:rFonts w:ascii="Arial" w:hAnsi="Arial" w:cs="Arial"/>
          <w:color w:val="auto"/>
          <w:shd w:val="clear" w:color="auto" w:fill="FFFFFF"/>
        </w:rPr>
        <w:t>The Borough Preferred Option (BPO) projections are a special set of housing-led population projections produced by the GLA for London local authorities and based on a housing development trajectory specified by each borough for this specific purpose.</w:t>
      </w:r>
      <w:r w:rsidR="00DD04DB" w:rsidRPr="002822D7">
        <w:rPr>
          <w:rFonts w:ascii="Arial" w:hAnsi="Arial" w:cs="Arial"/>
          <w:color w:val="auto"/>
          <w:shd w:val="clear" w:color="auto" w:fill="FFFFFF"/>
        </w:rPr>
        <w:t xml:space="preserve">  </w:t>
      </w:r>
      <w:r w:rsidR="00E30332" w:rsidRPr="002822D7">
        <w:rPr>
          <w:rFonts w:ascii="Arial" w:hAnsi="Arial" w:cs="Arial"/>
          <w:color w:val="auto"/>
        </w:rPr>
        <w:t>The BPO projections use the GLA housing-led and small area models to produce ward-level population projections.</w:t>
      </w:r>
      <w:r w:rsidR="00DD04DB" w:rsidRPr="002822D7">
        <w:rPr>
          <w:rFonts w:ascii="Arial" w:hAnsi="Arial" w:cs="Arial"/>
          <w:color w:val="auto"/>
        </w:rPr>
        <w:t xml:space="preserve">  </w:t>
      </w:r>
    </w:p>
    <w:p w14:paraId="0A059605" w14:textId="13590321" w:rsidR="00685759" w:rsidRDefault="00685759" w:rsidP="00DD04DB">
      <w:pPr>
        <w:pStyle w:val="Default"/>
        <w:rPr>
          <w:rFonts w:ascii="Arial" w:hAnsi="Arial" w:cs="Arial"/>
          <w:color w:val="auto"/>
        </w:rPr>
      </w:pPr>
    </w:p>
    <w:p w14:paraId="58D9BD23" w14:textId="40E4654D" w:rsidR="00685759" w:rsidRDefault="00685759" w:rsidP="00DD04DB">
      <w:pPr>
        <w:pStyle w:val="Default"/>
        <w:rPr>
          <w:rFonts w:ascii="Arial" w:hAnsi="Arial" w:cs="Arial"/>
          <w:color w:val="auto"/>
        </w:rPr>
      </w:pPr>
      <w:r w:rsidRPr="00685759">
        <w:rPr>
          <w:rFonts w:ascii="Arial" w:hAnsi="Arial" w:cs="Arial"/>
          <w:color w:val="auto"/>
        </w:rPr>
        <w:t>The 2021-based BPO projections (produced in early 2023) are produced on 2022 wards boundaries.</w:t>
      </w:r>
    </w:p>
    <w:p w14:paraId="150F09F3" w14:textId="7CFD73FC" w:rsidR="00AA2D7D" w:rsidRDefault="00AA2D7D" w:rsidP="00DD04DB">
      <w:pPr>
        <w:pStyle w:val="Default"/>
        <w:rPr>
          <w:rFonts w:ascii="Arial" w:hAnsi="Arial" w:cs="Arial"/>
          <w:color w:val="auto"/>
        </w:rPr>
      </w:pPr>
    </w:p>
    <w:p w14:paraId="580D9D27" w14:textId="77777777" w:rsidR="00AA2D7D" w:rsidRPr="00AA2D7D" w:rsidRDefault="00AA2D7D" w:rsidP="00AA2D7D">
      <w:pPr>
        <w:pStyle w:val="Default"/>
        <w:rPr>
          <w:rFonts w:ascii="Arial" w:hAnsi="Arial" w:cs="Arial"/>
          <w:b/>
          <w:bCs/>
          <w:color w:val="auto"/>
        </w:rPr>
      </w:pPr>
      <w:r w:rsidRPr="00AA2D7D">
        <w:rPr>
          <w:rFonts w:ascii="Arial" w:hAnsi="Arial" w:cs="Arial"/>
          <w:b/>
          <w:bCs/>
          <w:color w:val="auto"/>
        </w:rPr>
        <w:t xml:space="preserve">Population base and </w:t>
      </w:r>
      <w:proofErr w:type="spellStart"/>
      <w:r w:rsidRPr="00AA2D7D">
        <w:rPr>
          <w:rFonts w:ascii="Arial" w:hAnsi="Arial" w:cs="Arial"/>
          <w:b/>
          <w:bCs/>
          <w:color w:val="auto"/>
        </w:rPr>
        <w:t>backseries</w:t>
      </w:r>
      <w:proofErr w:type="spellEnd"/>
    </w:p>
    <w:p w14:paraId="1D52BCA8" w14:textId="1A740D8B" w:rsidR="00AA2D7D" w:rsidRPr="00AA2D7D" w:rsidRDefault="00AA2D7D" w:rsidP="00AA2D7D">
      <w:pPr>
        <w:pStyle w:val="Default"/>
        <w:rPr>
          <w:rFonts w:ascii="Arial" w:hAnsi="Arial" w:cs="Arial"/>
          <w:color w:val="auto"/>
        </w:rPr>
      </w:pPr>
      <w:r w:rsidRPr="00AA2D7D">
        <w:rPr>
          <w:rFonts w:ascii="Arial" w:hAnsi="Arial" w:cs="Arial"/>
          <w:color w:val="auto"/>
        </w:rPr>
        <w:t>In December 2022 ONS released the 2021 Mid-Year Estimate (MYE) for local authorities in England and Wales. The 2021 MYE constitutes a break in the official MYE series (2012-2020) as it is based on rolling forward 2021 census data rather than the 2020 MYE.</w:t>
      </w:r>
    </w:p>
    <w:p w14:paraId="0A1C4A8F" w14:textId="77777777" w:rsidR="00AA2D7D" w:rsidRPr="00AA2D7D" w:rsidRDefault="00AA2D7D" w:rsidP="00AA2D7D">
      <w:pPr>
        <w:pStyle w:val="Default"/>
        <w:rPr>
          <w:rFonts w:ascii="Arial" w:hAnsi="Arial" w:cs="Arial"/>
          <w:color w:val="auto"/>
        </w:rPr>
      </w:pPr>
    </w:p>
    <w:p w14:paraId="7A64F509" w14:textId="77777777" w:rsidR="00AA2D7D" w:rsidRPr="00AA2D7D" w:rsidRDefault="00AA2D7D" w:rsidP="00AA2D7D">
      <w:pPr>
        <w:pStyle w:val="Default"/>
        <w:rPr>
          <w:rFonts w:ascii="Arial" w:hAnsi="Arial" w:cs="Arial"/>
          <w:color w:val="auto"/>
        </w:rPr>
      </w:pPr>
      <w:r w:rsidRPr="00AA2D7D">
        <w:rPr>
          <w:rFonts w:ascii="Arial" w:hAnsi="Arial" w:cs="Arial"/>
          <w:color w:val="auto"/>
        </w:rPr>
        <w:t xml:space="preserve">In order to have a consistent </w:t>
      </w:r>
      <w:proofErr w:type="spellStart"/>
      <w:r w:rsidRPr="00AA2D7D">
        <w:rPr>
          <w:rFonts w:ascii="Arial" w:hAnsi="Arial" w:cs="Arial"/>
          <w:color w:val="auto"/>
        </w:rPr>
        <w:t>backseries</w:t>
      </w:r>
      <w:proofErr w:type="spellEnd"/>
      <w:r w:rsidRPr="00AA2D7D">
        <w:rPr>
          <w:rFonts w:ascii="Arial" w:hAnsi="Arial" w:cs="Arial"/>
          <w:color w:val="auto"/>
        </w:rPr>
        <w:t xml:space="preserve"> to work with the GLA have modelled a local authority level series between the accepted data points 2011 and 2021. This LA series has been modelled down to output area and then re-aggregated up to 2022 ward boundaries. The result is a consistent ward-level </w:t>
      </w:r>
      <w:proofErr w:type="spellStart"/>
      <w:r w:rsidRPr="00AA2D7D">
        <w:rPr>
          <w:rFonts w:ascii="Arial" w:hAnsi="Arial" w:cs="Arial"/>
          <w:color w:val="auto"/>
        </w:rPr>
        <w:t>backseries</w:t>
      </w:r>
      <w:proofErr w:type="spellEnd"/>
      <w:r w:rsidRPr="00AA2D7D">
        <w:rPr>
          <w:rFonts w:ascii="Arial" w:hAnsi="Arial" w:cs="Arial"/>
          <w:color w:val="auto"/>
        </w:rPr>
        <w:t xml:space="preserve"> for the period 2011-2021.</w:t>
      </w:r>
    </w:p>
    <w:p w14:paraId="0E19571A" w14:textId="77777777" w:rsidR="00AA2D7D" w:rsidRPr="00AA2D7D" w:rsidRDefault="00AA2D7D" w:rsidP="00AA2D7D">
      <w:pPr>
        <w:pStyle w:val="Default"/>
        <w:rPr>
          <w:rFonts w:ascii="Arial" w:hAnsi="Arial" w:cs="Arial"/>
          <w:color w:val="auto"/>
        </w:rPr>
      </w:pPr>
    </w:p>
    <w:p w14:paraId="22577A0B" w14:textId="07714D13" w:rsidR="00AA2D7D" w:rsidRDefault="00AA2D7D" w:rsidP="00AA2D7D">
      <w:pPr>
        <w:pStyle w:val="Default"/>
        <w:rPr>
          <w:rFonts w:ascii="Arial" w:hAnsi="Arial" w:cs="Arial"/>
          <w:color w:val="auto"/>
        </w:rPr>
      </w:pPr>
      <w:r w:rsidRPr="00AA2D7D">
        <w:rPr>
          <w:rFonts w:ascii="Arial" w:hAnsi="Arial" w:cs="Arial"/>
          <w:color w:val="auto"/>
        </w:rPr>
        <w:t>However, this process may mean that ward populations in 2021 differ in size and distribution from census 2021 outputs.</w:t>
      </w:r>
    </w:p>
    <w:p w14:paraId="20A68DC6" w14:textId="30999D6D" w:rsidR="00AA2D7D" w:rsidRDefault="00AA2D7D" w:rsidP="00AA2D7D">
      <w:pPr>
        <w:pStyle w:val="Default"/>
        <w:rPr>
          <w:rFonts w:ascii="Arial" w:hAnsi="Arial" w:cs="Arial"/>
          <w:color w:val="auto"/>
        </w:rPr>
      </w:pPr>
    </w:p>
    <w:p w14:paraId="7290D5F0" w14:textId="77777777" w:rsidR="00AA2D7D" w:rsidRPr="00AA2D7D" w:rsidRDefault="00AA2D7D" w:rsidP="00AA2D7D">
      <w:pPr>
        <w:pStyle w:val="Default"/>
        <w:rPr>
          <w:rFonts w:ascii="Arial" w:hAnsi="Arial" w:cs="Arial"/>
          <w:b/>
          <w:bCs/>
          <w:color w:val="auto"/>
        </w:rPr>
      </w:pPr>
      <w:r w:rsidRPr="00AA2D7D">
        <w:rPr>
          <w:rFonts w:ascii="Arial" w:hAnsi="Arial" w:cs="Arial"/>
          <w:b/>
          <w:bCs/>
          <w:color w:val="auto"/>
        </w:rPr>
        <w:t>Model operation</w:t>
      </w:r>
    </w:p>
    <w:p w14:paraId="396C3B2B" w14:textId="77777777" w:rsidR="00AA2D7D" w:rsidRPr="00AA2D7D" w:rsidRDefault="00AA2D7D" w:rsidP="00AA2D7D">
      <w:pPr>
        <w:pStyle w:val="Default"/>
        <w:rPr>
          <w:rFonts w:ascii="Arial" w:hAnsi="Arial" w:cs="Arial"/>
          <w:color w:val="auto"/>
        </w:rPr>
      </w:pPr>
      <w:r w:rsidRPr="00AA2D7D">
        <w:rPr>
          <w:rFonts w:ascii="Arial" w:hAnsi="Arial" w:cs="Arial"/>
          <w:color w:val="auto"/>
        </w:rPr>
        <w:t>The BPO projections use the GLA flexible area model to produce ward-level population projections.</w:t>
      </w:r>
    </w:p>
    <w:p w14:paraId="0826B884" w14:textId="77777777" w:rsidR="00AA2D7D" w:rsidRPr="00AA2D7D" w:rsidRDefault="00AA2D7D" w:rsidP="00AA2D7D">
      <w:pPr>
        <w:pStyle w:val="Default"/>
        <w:rPr>
          <w:rFonts w:ascii="Arial" w:hAnsi="Arial" w:cs="Arial"/>
          <w:color w:val="auto"/>
        </w:rPr>
      </w:pPr>
    </w:p>
    <w:p w14:paraId="508155E7" w14:textId="77777777" w:rsidR="00AA2D7D" w:rsidRPr="00AA2D7D" w:rsidRDefault="00AA2D7D" w:rsidP="00AA2D7D">
      <w:pPr>
        <w:pStyle w:val="Default"/>
        <w:rPr>
          <w:rFonts w:ascii="Arial" w:hAnsi="Arial" w:cs="Arial"/>
          <w:color w:val="auto"/>
        </w:rPr>
      </w:pPr>
      <w:r w:rsidRPr="00AA2D7D">
        <w:rPr>
          <w:rFonts w:ascii="Arial" w:hAnsi="Arial" w:cs="Arial"/>
          <w:color w:val="auto"/>
        </w:rPr>
        <w:t>The model operates by calculating a population based solely on trends and then separately one based on converting available dwelling stock into population through the application of average household size (AHS). These two populations are then reconciled in the model to produce a final population which accounts for both current trends and relative changes in housing availability.</w:t>
      </w:r>
    </w:p>
    <w:p w14:paraId="0CC9505E" w14:textId="77777777" w:rsidR="00AA2D7D" w:rsidRPr="00AA2D7D" w:rsidRDefault="00AA2D7D" w:rsidP="00AA2D7D">
      <w:pPr>
        <w:pStyle w:val="Default"/>
        <w:rPr>
          <w:rFonts w:ascii="Arial" w:hAnsi="Arial" w:cs="Arial"/>
          <w:color w:val="auto"/>
        </w:rPr>
      </w:pPr>
    </w:p>
    <w:p w14:paraId="221CEAA3" w14:textId="77777777" w:rsidR="00AA2D7D" w:rsidRPr="00573FDA" w:rsidRDefault="00AA2D7D" w:rsidP="00AA2D7D">
      <w:pPr>
        <w:pStyle w:val="Default"/>
        <w:rPr>
          <w:rFonts w:ascii="Arial" w:hAnsi="Arial" w:cs="Arial"/>
          <w:b/>
          <w:bCs/>
          <w:color w:val="auto"/>
        </w:rPr>
      </w:pPr>
      <w:r w:rsidRPr="00573FDA">
        <w:rPr>
          <w:rFonts w:ascii="Arial" w:hAnsi="Arial" w:cs="Arial"/>
          <w:b/>
          <w:bCs/>
          <w:color w:val="auto"/>
        </w:rPr>
        <w:t>Migration scenarios</w:t>
      </w:r>
    </w:p>
    <w:p w14:paraId="4A622371" w14:textId="3F04ABBE" w:rsidR="00AA2D7D" w:rsidRPr="00AA2D7D" w:rsidRDefault="00AA2D7D" w:rsidP="00AA2D7D">
      <w:pPr>
        <w:pStyle w:val="Default"/>
        <w:rPr>
          <w:rFonts w:ascii="Arial" w:hAnsi="Arial" w:cs="Arial"/>
          <w:color w:val="auto"/>
        </w:rPr>
      </w:pPr>
      <w:r w:rsidRPr="00AA2D7D">
        <w:rPr>
          <w:rFonts w:ascii="Arial" w:hAnsi="Arial" w:cs="Arial"/>
          <w:color w:val="auto"/>
        </w:rPr>
        <w:t xml:space="preserve">The 2021-based BPO projections include </w:t>
      </w:r>
      <w:r w:rsidR="00BD1E83">
        <w:rPr>
          <w:rFonts w:ascii="Arial" w:hAnsi="Arial" w:cs="Arial"/>
          <w:color w:val="auto"/>
        </w:rPr>
        <w:t>three</w:t>
      </w:r>
      <w:r w:rsidRPr="00AA2D7D">
        <w:rPr>
          <w:rFonts w:ascii="Arial" w:hAnsi="Arial" w:cs="Arial"/>
          <w:color w:val="auto"/>
        </w:rPr>
        <w:t xml:space="preserve"> scenario projections for each development trajectory:</w:t>
      </w:r>
    </w:p>
    <w:p w14:paraId="31F670AE" w14:textId="77777777" w:rsidR="00AA2D7D" w:rsidRPr="00AA2D7D" w:rsidRDefault="00AA2D7D" w:rsidP="00AA2D7D">
      <w:pPr>
        <w:pStyle w:val="Default"/>
        <w:rPr>
          <w:rFonts w:ascii="Arial" w:hAnsi="Arial" w:cs="Arial"/>
          <w:color w:val="auto"/>
        </w:rPr>
      </w:pPr>
    </w:p>
    <w:p w14:paraId="564D99C1" w14:textId="77777777" w:rsidR="00AA2D7D" w:rsidRPr="00AA2D7D" w:rsidRDefault="00AA2D7D" w:rsidP="00AA2D7D">
      <w:pPr>
        <w:pStyle w:val="Default"/>
        <w:rPr>
          <w:rFonts w:ascii="Arial" w:hAnsi="Arial" w:cs="Arial"/>
          <w:color w:val="auto"/>
        </w:rPr>
      </w:pPr>
      <w:r w:rsidRPr="00AA2D7D">
        <w:rPr>
          <w:rFonts w:ascii="Arial" w:hAnsi="Arial" w:cs="Arial"/>
          <w:color w:val="auto"/>
        </w:rPr>
        <w:t>Scenario 1: Ward migration rates are calculated by applying the average of the last 5 years’ rates to projected population. The population, births and deaths are constrained to the 2021-based 5-year migration trend projection.</w:t>
      </w:r>
    </w:p>
    <w:p w14:paraId="7A105315" w14:textId="77777777" w:rsidR="00AA2D7D" w:rsidRPr="00AA2D7D" w:rsidRDefault="00AA2D7D" w:rsidP="00AA2D7D">
      <w:pPr>
        <w:pStyle w:val="Default"/>
        <w:rPr>
          <w:rFonts w:ascii="Arial" w:hAnsi="Arial" w:cs="Arial"/>
          <w:color w:val="auto"/>
        </w:rPr>
      </w:pPr>
    </w:p>
    <w:p w14:paraId="5F5041E4" w14:textId="77777777" w:rsidR="00AA2D7D" w:rsidRPr="00AA2D7D" w:rsidRDefault="00AA2D7D" w:rsidP="00AA2D7D">
      <w:pPr>
        <w:pStyle w:val="Default"/>
        <w:rPr>
          <w:rFonts w:ascii="Arial" w:hAnsi="Arial" w:cs="Arial"/>
          <w:color w:val="auto"/>
        </w:rPr>
      </w:pPr>
      <w:r w:rsidRPr="00AA2D7D">
        <w:rPr>
          <w:rFonts w:ascii="Arial" w:hAnsi="Arial" w:cs="Arial"/>
          <w:color w:val="auto"/>
        </w:rPr>
        <w:t>Scenario 2: Ward migration rates are calculated by applying the average of the last 10 years’ rates to projected population. The population, births and deaths are constrained to the 2021-based 10-year migration trend projection.</w:t>
      </w:r>
    </w:p>
    <w:p w14:paraId="24FCAC02" w14:textId="77777777" w:rsidR="00AA2D7D" w:rsidRPr="00AA2D7D" w:rsidRDefault="00AA2D7D" w:rsidP="00AA2D7D">
      <w:pPr>
        <w:pStyle w:val="Default"/>
        <w:rPr>
          <w:rFonts w:ascii="Arial" w:hAnsi="Arial" w:cs="Arial"/>
          <w:color w:val="auto"/>
        </w:rPr>
      </w:pPr>
    </w:p>
    <w:p w14:paraId="1AE7878B" w14:textId="000FCDA3" w:rsidR="002E67CC" w:rsidRPr="002E67CC" w:rsidRDefault="00AA2D7D" w:rsidP="002E67CC">
      <w:pPr>
        <w:pStyle w:val="Default"/>
        <w:rPr>
          <w:rFonts w:ascii="Arial" w:hAnsi="Arial" w:cs="Arial"/>
          <w:color w:val="auto"/>
        </w:rPr>
      </w:pPr>
      <w:r w:rsidRPr="00AA2D7D">
        <w:rPr>
          <w:rFonts w:ascii="Arial" w:hAnsi="Arial" w:cs="Arial"/>
          <w:color w:val="auto"/>
        </w:rPr>
        <w:t>Scenario 3: Ward migration rates are calculated by applying the average of the last 10 years’ rates to projected population. The population, births and deaths are constrained to the 2021-based 15-year migration trend projection.</w:t>
      </w:r>
    </w:p>
    <w:p w14:paraId="3A8D2D38" w14:textId="77777777" w:rsidR="002E67CC" w:rsidRPr="002E67CC" w:rsidRDefault="002E67CC" w:rsidP="002E67CC">
      <w:pPr>
        <w:pStyle w:val="Default"/>
        <w:rPr>
          <w:rFonts w:ascii="Arial" w:hAnsi="Arial" w:cs="Arial"/>
          <w:b/>
          <w:bCs/>
          <w:color w:val="auto"/>
        </w:rPr>
      </w:pPr>
      <w:r w:rsidRPr="002E67CC">
        <w:rPr>
          <w:rFonts w:ascii="Arial" w:hAnsi="Arial" w:cs="Arial"/>
          <w:b/>
          <w:bCs/>
          <w:color w:val="auto"/>
        </w:rPr>
        <w:lastRenderedPageBreak/>
        <w:t>Constraining</w:t>
      </w:r>
    </w:p>
    <w:p w14:paraId="550CA33F" w14:textId="77777777" w:rsidR="002E67CC" w:rsidRPr="002E67CC" w:rsidRDefault="002E67CC" w:rsidP="002E67CC">
      <w:pPr>
        <w:pStyle w:val="Default"/>
        <w:rPr>
          <w:rFonts w:ascii="Arial" w:hAnsi="Arial" w:cs="Arial"/>
          <w:color w:val="auto"/>
        </w:rPr>
      </w:pPr>
      <w:r w:rsidRPr="002E67CC">
        <w:rPr>
          <w:rFonts w:ascii="Arial" w:hAnsi="Arial" w:cs="Arial"/>
          <w:color w:val="auto"/>
        </w:rPr>
        <w:t>The constraining process has the effect of transferring the overarching characteristics of the trend projection, and its detailed migration assumptions, to the ward-level projection.</w:t>
      </w:r>
    </w:p>
    <w:p w14:paraId="60DF82EC" w14:textId="77777777" w:rsidR="002E67CC" w:rsidRPr="002E67CC" w:rsidRDefault="002E67CC" w:rsidP="002E67CC">
      <w:pPr>
        <w:pStyle w:val="Default"/>
        <w:rPr>
          <w:rFonts w:ascii="Arial" w:hAnsi="Arial" w:cs="Arial"/>
          <w:color w:val="auto"/>
        </w:rPr>
      </w:pPr>
    </w:p>
    <w:p w14:paraId="79AE8C2B" w14:textId="77777777" w:rsidR="002E67CC" w:rsidRPr="002E67CC" w:rsidRDefault="002E67CC" w:rsidP="002E67CC">
      <w:pPr>
        <w:pStyle w:val="Default"/>
        <w:rPr>
          <w:rFonts w:ascii="Arial" w:hAnsi="Arial" w:cs="Arial"/>
          <w:color w:val="auto"/>
        </w:rPr>
      </w:pPr>
      <w:r w:rsidRPr="002E67CC">
        <w:rPr>
          <w:rFonts w:ascii="Arial" w:hAnsi="Arial" w:cs="Arial"/>
          <w:color w:val="auto"/>
        </w:rPr>
        <w:t>The trend projections assume the same level of international migration in 2022 (a figure based on ONS data on UK-level international flows for that year). International migration levels then diverge as the variants move towards their long-term levels. These levels are achieved in 2025 and then remain constant to the end of the projection.</w:t>
      </w:r>
    </w:p>
    <w:p w14:paraId="3844582A" w14:textId="77777777" w:rsidR="002E67CC" w:rsidRPr="002E67CC" w:rsidRDefault="002E67CC" w:rsidP="002E67CC">
      <w:pPr>
        <w:pStyle w:val="Default"/>
        <w:rPr>
          <w:rFonts w:ascii="Arial" w:hAnsi="Arial" w:cs="Arial"/>
          <w:color w:val="auto"/>
        </w:rPr>
      </w:pPr>
    </w:p>
    <w:p w14:paraId="04D29306" w14:textId="30F7178E" w:rsidR="002E67CC" w:rsidRDefault="002E67CC" w:rsidP="002E67CC">
      <w:pPr>
        <w:pStyle w:val="Default"/>
        <w:rPr>
          <w:rFonts w:ascii="Arial" w:hAnsi="Arial" w:cs="Arial"/>
          <w:color w:val="auto"/>
        </w:rPr>
      </w:pPr>
      <w:r w:rsidRPr="002E67CC">
        <w:rPr>
          <w:rFonts w:ascii="Arial" w:hAnsi="Arial" w:cs="Arial"/>
          <w:color w:val="auto"/>
        </w:rPr>
        <w:t>Domestic migration levels in the constraining trend projections are calculated by applying averaged rates to projected population in each year of the projection.</w:t>
      </w:r>
    </w:p>
    <w:p w14:paraId="080C9752" w14:textId="77777777" w:rsidR="002E67CC" w:rsidRPr="00AA2D7D" w:rsidRDefault="002E67CC" w:rsidP="00AA2D7D">
      <w:pPr>
        <w:pStyle w:val="Default"/>
        <w:rPr>
          <w:rFonts w:ascii="Arial" w:hAnsi="Arial" w:cs="Arial"/>
          <w:color w:val="auto"/>
        </w:rPr>
      </w:pPr>
    </w:p>
    <w:p w14:paraId="76D06040" w14:textId="77777777" w:rsidR="002E67CC" w:rsidRPr="002E67CC" w:rsidRDefault="002E67CC" w:rsidP="00DF313C">
      <w:pPr>
        <w:rPr>
          <w:b/>
          <w:bCs/>
        </w:rPr>
      </w:pPr>
      <w:r w:rsidRPr="002E67CC">
        <w:rPr>
          <w:b/>
          <w:bCs/>
        </w:rPr>
        <w:t xml:space="preserve">2021-based BPO projections </w:t>
      </w:r>
    </w:p>
    <w:p w14:paraId="54973BCE" w14:textId="42C0BAF0" w:rsidR="00DF313C" w:rsidRPr="002822D7" w:rsidRDefault="00DD04DB" w:rsidP="00DF313C">
      <w:r w:rsidRPr="002822D7">
        <w:t xml:space="preserve">This </w:t>
      </w:r>
      <w:r w:rsidR="00930303" w:rsidRPr="002822D7">
        <w:t xml:space="preserve">year we have used </w:t>
      </w:r>
      <w:r w:rsidR="00DF313C" w:rsidRPr="002822D7">
        <w:t xml:space="preserve">the school roll projections that are based on the </w:t>
      </w:r>
      <w:r w:rsidR="00F41B41" w:rsidRPr="002822D7">
        <w:t xml:space="preserve">BPO </w:t>
      </w:r>
      <w:r w:rsidR="008B1C31" w:rsidRPr="002822D7">
        <w:t>Scenario 2</w:t>
      </w:r>
      <w:r w:rsidR="00DF313C" w:rsidRPr="002822D7">
        <w:t xml:space="preserve">, </w:t>
      </w:r>
      <w:r w:rsidR="008B1C31" w:rsidRPr="002822D7">
        <w:t xml:space="preserve">in-line with </w:t>
      </w:r>
      <w:r w:rsidR="000B457C" w:rsidRPr="002822D7">
        <w:t>Demography and Planning areas of the Council.</w:t>
      </w:r>
    </w:p>
    <w:p w14:paraId="3EAB6ADF" w14:textId="77777777" w:rsidR="00573FDA" w:rsidRDefault="00573FDA" w:rsidP="00234723"/>
    <w:p w14:paraId="63C2BA50" w14:textId="3018B66A" w:rsidR="00851042" w:rsidRPr="002822D7" w:rsidRDefault="00DF313C" w:rsidP="00234723">
      <w:r w:rsidRPr="002822D7">
        <w:t>A summary of the GLA’s 20</w:t>
      </w:r>
      <w:r w:rsidR="00124E65" w:rsidRPr="002822D7">
        <w:t xml:space="preserve">20 </w:t>
      </w:r>
      <w:r w:rsidRPr="002822D7">
        <w:t xml:space="preserve">Borough Preferred Option population projections based on </w:t>
      </w:r>
      <w:r w:rsidR="00684118" w:rsidRPr="002822D7">
        <w:t xml:space="preserve">scenario 2 </w:t>
      </w:r>
      <w:r w:rsidRPr="002822D7">
        <w:t>for Harrow of 0 to 3 year olds, 4-10 year olds, 11-15 year olds and 16 to 25 year olds is summarised in the chart below.</w:t>
      </w:r>
      <w:r w:rsidR="00851042" w:rsidRPr="002822D7">
        <w:t xml:space="preserve">  </w:t>
      </w:r>
    </w:p>
    <w:p w14:paraId="01152D3F" w14:textId="77777777" w:rsidR="00851042" w:rsidRPr="002822D7" w:rsidRDefault="00851042" w:rsidP="00A16979">
      <w:pPr>
        <w:pStyle w:val="Header"/>
      </w:pPr>
    </w:p>
    <w:p w14:paraId="3D0557BC" w14:textId="3EB0E99D" w:rsidR="004B737E" w:rsidRPr="002822D7" w:rsidRDefault="00754992" w:rsidP="00D60B21">
      <w:pPr>
        <w:pStyle w:val="Header"/>
      </w:pPr>
      <w:r>
        <w:t xml:space="preserve">The </w:t>
      </w:r>
      <w:r w:rsidR="00062892">
        <w:t xml:space="preserve">bullet points and </w:t>
      </w:r>
      <w:r w:rsidR="00BE7687">
        <w:t>T</w:t>
      </w:r>
      <w:r>
        <w:t xml:space="preserve">able </w:t>
      </w:r>
      <w:r w:rsidR="00BE7687">
        <w:t xml:space="preserve">3 </w:t>
      </w:r>
      <w:r w:rsidR="004B737E" w:rsidRPr="002822D7">
        <w:t xml:space="preserve">below show </w:t>
      </w:r>
      <w:r w:rsidR="00062892">
        <w:t xml:space="preserve">the estimated number of children in Harrow </w:t>
      </w:r>
      <w:r w:rsidR="004B737E" w:rsidRPr="002822D7">
        <w:t>between 2011 and 20</w:t>
      </w:r>
      <w:r>
        <w:t>21</w:t>
      </w:r>
      <w:r w:rsidR="00F005BC">
        <w:t xml:space="preserve"> </w:t>
      </w:r>
      <w:r w:rsidR="00062892">
        <w:t>by aged group.  T</w:t>
      </w:r>
      <w:r w:rsidR="00F005BC">
        <w:t>he number of</w:t>
      </w:r>
      <w:r w:rsidR="004B737E" w:rsidRPr="002822D7">
        <w:t>:</w:t>
      </w:r>
    </w:p>
    <w:p w14:paraId="60E08EB1" w14:textId="77777777" w:rsidR="00515FAD" w:rsidRPr="002822D7" w:rsidRDefault="00515FAD" w:rsidP="00D60B21">
      <w:pPr>
        <w:pStyle w:val="Header"/>
      </w:pPr>
    </w:p>
    <w:p w14:paraId="11039A19" w14:textId="7E95F30A" w:rsidR="004B737E" w:rsidRPr="002822D7" w:rsidRDefault="004B737E" w:rsidP="004B737E">
      <w:pPr>
        <w:pStyle w:val="Header"/>
        <w:numPr>
          <w:ilvl w:val="0"/>
          <w:numId w:val="3"/>
        </w:numPr>
      </w:pPr>
      <w:r w:rsidRPr="002822D7">
        <w:t xml:space="preserve">0 to </w:t>
      </w:r>
      <w:r w:rsidR="00B075DA">
        <w:t>4</w:t>
      </w:r>
      <w:r w:rsidRPr="002822D7">
        <w:t xml:space="preserve"> year olds </w:t>
      </w:r>
      <w:r w:rsidR="00B075DA">
        <w:t>increase</w:t>
      </w:r>
      <w:r w:rsidR="00062892">
        <w:t>d</w:t>
      </w:r>
      <w:r w:rsidR="00B075DA">
        <w:t xml:space="preserve"> from 2011 to 2014 and then steadily decreased to 15,575 in </w:t>
      </w:r>
      <w:r w:rsidR="006F76CF" w:rsidRPr="002822D7">
        <w:t>202</w:t>
      </w:r>
      <w:r w:rsidR="00B075DA">
        <w:t>1</w:t>
      </w:r>
      <w:r w:rsidR="006F76CF" w:rsidRPr="002822D7">
        <w:t>.</w:t>
      </w:r>
      <w:r w:rsidRPr="002822D7">
        <w:t xml:space="preserve">  </w:t>
      </w:r>
    </w:p>
    <w:p w14:paraId="523B598B" w14:textId="6295AC5A" w:rsidR="004B737E" w:rsidRPr="002822D7" w:rsidRDefault="0089785F" w:rsidP="004B737E">
      <w:pPr>
        <w:pStyle w:val="Header"/>
        <w:numPr>
          <w:ilvl w:val="0"/>
          <w:numId w:val="3"/>
        </w:numPr>
      </w:pPr>
      <w:r>
        <w:t>5</w:t>
      </w:r>
      <w:r w:rsidR="004B737E" w:rsidRPr="002822D7">
        <w:t xml:space="preserve"> to 10 year olds</w:t>
      </w:r>
      <w:r>
        <w:t xml:space="preserve"> increased from 17,290 in 2011 to 19,378 in 2021.</w:t>
      </w:r>
      <w:r w:rsidR="00062892">
        <w:t xml:space="preserve">  </w:t>
      </w:r>
      <w:r>
        <w:t xml:space="preserve">The numbers increased consistently from 2011 to 2018 and started to dip slightly over the last 3 years. </w:t>
      </w:r>
      <w:r w:rsidR="004B737E" w:rsidRPr="002822D7">
        <w:t xml:space="preserve">  </w:t>
      </w:r>
    </w:p>
    <w:p w14:paraId="49E706A2" w14:textId="4E09BB28" w:rsidR="004B737E" w:rsidRPr="002822D7" w:rsidRDefault="004B737E" w:rsidP="004B737E">
      <w:pPr>
        <w:pStyle w:val="Header"/>
        <w:numPr>
          <w:ilvl w:val="0"/>
          <w:numId w:val="3"/>
        </w:numPr>
      </w:pPr>
      <w:r w:rsidRPr="002822D7">
        <w:t xml:space="preserve">11 to 15 year olds </w:t>
      </w:r>
      <w:r w:rsidR="005F14CF">
        <w:t xml:space="preserve">increased from 14,892 in 2011 to 16,357 in 2021, with some fluctuation in </w:t>
      </w:r>
      <w:r w:rsidR="00062892">
        <w:t xml:space="preserve">the years </w:t>
      </w:r>
      <w:r w:rsidR="005F14CF">
        <w:t>between.</w:t>
      </w:r>
    </w:p>
    <w:p w14:paraId="3EF64639" w14:textId="2768F1DF" w:rsidR="004B737E" w:rsidRDefault="004B737E" w:rsidP="004B737E">
      <w:pPr>
        <w:pStyle w:val="Header"/>
        <w:numPr>
          <w:ilvl w:val="0"/>
          <w:numId w:val="3"/>
        </w:numPr>
      </w:pPr>
      <w:r w:rsidRPr="002822D7">
        <w:t xml:space="preserve">16 to </w:t>
      </w:r>
      <w:r w:rsidR="00F005BC">
        <w:t>19</w:t>
      </w:r>
      <w:r w:rsidRPr="002822D7">
        <w:t xml:space="preserve"> year olds </w:t>
      </w:r>
      <w:r w:rsidR="006922AF" w:rsidRPr="002822D7">
        <w:t xml:space="preserve">has </w:t>
      </w:r>
      <w:r w:rsidR="00F005BC">
        <w:t>fluctuated between 2011 and 2021, from 12,264 to 12,051 respectively</w:t>
      </w:r>
      <w:r w:rsidRPr="002822D7">
        <w:t>.</w:t>
      </w:r>
    </w:p>
    <w:p w14:paraId="3B90A1F7" w14:textId="62FC7D29" w:rsidR="00F005BC" w:rsidRPr="002822D7" w:rsidRDefault="00F005BC" w:rsidP="00F005BC">
      <w:pPr>
        <w:pStyle w:val="Header"/>
        <w:numPr>
          <w:ilvl w:val="0"/>
          <w:numId w:val="3"/>
        </w:numPr>
      </w:pPr>
      <w:r>
        <w:t xml:space="preserve">20 to 25 year olds </w:t>
      </w:r>
      <w:r w:rsidRPr="002822D7">
        <w:t xml:space="preserve">has </w:t>
      </w:r>
      <w:r>
        <w:t xml:space="preserve">declined from 19,641 in 2011 to 18,585 in 2021, with some fluctuation in </w:t>
      </w:r>
      <w:r w:rsidR="00062892">
        <w:t xml:space="preserve">the years </w:t>
      </w:r>
      <w:r>
        <w:t>between.</w:t>
      </w:r>
    </w:p>
    <w:p w14:paraId="174FC019" w14:textId="77777777" w:rsidR="00C40020" w:rsidRDefault="00C40020"/>
    <w:p w14:paraId="46ED6591" w14:textId="55B4E205" w:rsidR="004B737E" w:rsidRPr="002822D7" w:rsidRDefault="00C40020">
      <w:r>
        <w:t xml:space="preserve">Table 3: GLA 2021 BPO by Age Groups </w:t>
      </w:r>
    </w:p>
    <w:tbl>
      <w:tblPr>
        <w:tblW w:w="10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951"/>
        <w:gridCol w:w="828"/>
        <w:gridCol w:w="828"/>
        <w:gridCol w:w="828"/>
        <w:gridCol w:w="828"/>
        <w:gridCol w:w="828"/>
        <w:gridCol w:w="828"/>
        <w:gridCol w:w="828"/>
        <w:gridCol w:w="828"/>
        <w:gridCol w:w="828"/>
        <w:gridCol w:w="828"/>
      </w:tblGrid>
      <w:tr w:rsidR="00865519" w:rsidRPr="002822D7" w14:paraId="72EA3229" w14:textId="3FEB6E68" w:rsidTr="00FE50BC">
        <w:trPr>
          <w:trHeight w:val="300"/>
        </w:trPr>
        <w:tc>
          <w:tcPr>
            <w:tcW w:w="1129" w:type="dxa"/>
            <w:shd w:val="clear" w:color="auto" w:fill="auto"/>
            <w:noWrap/>
            <w:vAlign w:val="center"/>
            <w:hideMark/>
          </w:tcPr>
          <w:p w14:paraId="3722D196" w14:textId="77777777" w:rsidR="00865519" w:rsidRPr="002822D7" w:rsidRDefault="00865519" w:rsidP="005C7DB3">
            <w:pPr>
              <w:rPr>
                <w:b/>
                <w:bCs/>
                <w:color w:val="000000"/>
                <w:sz w:val="22"/>
                <w:szCs w:val="22"/>
                <w:lang w:eastAsia="en-GB"/>
              </w:rPr>
            </w:pPr>
            <w:r w:rsidRPr="002822D7">
              <w:rPr>
                <w:b/>
                <w:bCs/>
                <w:color w:val="000000"/>
                <w:sz w:val="22"/>
                <w:szCs w:val="22"/>
                <w:lang w:eastAsia="en-GB"/>
              </w:rPr>
              <w:t>Age</w:t>
            </w:r>
          </w:p>
        </w:tc>
        <w:tc>
          <w:tcPr>
            <w:tcW w:w="951" w:type="dxa"/>
            <w:shd w:val="clear" w:color="auto" w:fill="auto"/>
            <w:noWrap/>
            <w:vAlign w:val="center"/>
            <w:hideMark/>
          </w:tcPr>
          <w:p w14:paraId="4DCF477A" w14:textId="77777777" w:rsidR="00865519" w:rsidRPr="002822D7" w:rsidRDefault="00865519" w:rsidP="005C7DB3">
            <w:pPr>
              <w:jc w:val="center"/>
              <w:rPr>
                <w:b/>
                <w:bCs/>
                <w:color w:val="000000"/>
                <w:sz w:val="22"/>
                <w:szCs w:val="22"/>
                <w:lang w:eastAsia="en-GB"/>
              </w:rPr>
            </w:pPr>
            <w:r w:rsidRPr="002822D7">
              <w:rPr>
                <w:b/>
                <w:bCs/>
                <w:color w:val="000000"/>
                <w:sz w:val="22"/>
                <w:szCs w:val="22"/>
                <w:lang w:eastAsia="en-GB"/>
              </w:rPr>
              <w:t>2011</w:t>
            </w:r>
          </w:p>
        </w:tc>
        <w:tc>
          <w:tcPr>
            <w:tcW w:w="828" w:type="dxa"/>
            <w:shd w:val="clear" w:color="auto" w:fill="auto"/>
            <w:noWrap/>
            <w:vAlign w:val="center"/>
            <w:hideMark/>
          </w:tcPr>
          <w:p w14:paraId="23F5E0F3" w14:textId="77777777" w:rsidR="00865519" w:rsidRPr="002822D7" w:rsidRDefault="00865519" w:rsidP="005C7DB3">
            <w:pPr>
              <w:jc w:val="center"/>
              <w:rPr>
                <w:b/>
                <w:bCs/>
                <w:color w:val="000000"/>
                <w:sz w:val="22"/>
                <w:szCs w:val="22"/>
                <w:lang w:eastAsia="en-GB"/>
              </w:rPr>
            </w:pPr>
            <w:r w:rsidRPr="002822D7">
              <w:rPr>
                <w:b/>
                <w:bCs/>
                <w:color w:val="000000"/>
                <w:sz w:val="22"/>
                <w:szCs w:val="22"/>
                <w:lang w:eastAsia="en-GB"/>
              </w:rPr>
              <w:t>2012</w:t>
            </w:r>
          </w:p>
        </w:tc>
        <w:tc>
          <w:tcPr>
            <w:tcW w:w="828" w:type="dxa"/>
            <w:shd w:val="clear" w:color="auto" w:fill="auto"/>
            <w:noWrap/>
            <w:vAlign w:val="center"/>
            <w:hideMark/>
          </w:tcPr>
          <w:p w14:paraId="2AC384A6" w14:textId="77777777" w:rsidR="00865519" w:rsidRPr="002822D7" w:rsidRDefault="00865519" w:rsidP="005C7DB3">
            <w:pPr>
              <w:jc w:val="center"/>
              <w:rPr>
                <w:b/>
                <w:bCs/>
                <w:color w:val="000000"/>
                <w:sz w:val="22"/>
                <w:szCs w:val="22"/>
                <w:lang w:eastAsia="en-GB"/>
              </w:rPr>
            </w:pPr>
            <w:r w:rsidRPr="002822D7">
              <w:rPr>
                <w:b/>
                <w:bCs/>
                <w:color w:val="000000"/>
                <w:sz w:val="22"/>
                <w:szCs w:val="22"/>
                <w:lang w:eastAsia="en-GB"/>
              </w:rPr>
              <w:t>2013</w:t>
            </w:r>
          </w:p>
        </w:tc>
        <w:tc>
          <w:tcPr>
            <w:tcW w:w="828" w:type="dxa"/>
            <w:shd w:val="clear" w:color="auto" w:fill="auto"/>
            <w:noWrap/>
            <w:vAlign w:val="center"/>
            <w:hideMark/>
          </w:tcPr>
          <w:p w14:paraId="29C49AE4" w14:textId="77777777" w:rsidR="00865519" w:rsidRPr="002822D7" w:rsidRDefault="00865519" w:rsidP="005C7DB3">
            <w:pPr>
              <w:jc w:val="center"/>
              <w:rPr>
                <w:b/>
                <w:bCs/>
                <w:color w:val="000000"/>
                <w:sz w:val="22"/>
                <w:szCs w:val="22"/>
                <w:lang w:eastAsia="en-GB"/>
              </w:rPr>
            </w:pPr>
            <w:r w:rsidRPr="002822D7">
              <w:rPr>
                <w:b/>
                <w:bCs/>
                <w:color w:val="000000"/>
                <w:sz w:val="22"/>
                <w:szCs w:val="22"/>
                <w:lang w:eastAsia="en-GB"/>
              </w:rPr>
              <w:t>2014</w:t>
            </w:r>
          </w:p>
        </w:tc>
        <w:tc>
          <w:tcPr>
            <w:tcW w:w="828" w:type="dxa"/>
            <w:shd w:val="clear" w:color="auto" w:fill="auto"/>
            <w:noWrap/>
            <w:vAlign w:val="center"/>
            <w:hideMark/>
          </w:tcPr>
          <w:p w14:paraId="7676D459" w14:textId="77777777" w:rsidR="00865519" w:rsidRPr="002822D7" w:rsidRDefault="00865519" w:rsidP="005C7DB3">
            <w:pPr>
              <w:jc w:val="center"/>
              <w:rPr>
                <w:b/>
                <w:bCs/>
                <w:color w:val="000000"/>
                <w:sz w:val="22"/>
                <w:szCs w:val="22"/>
                <w:lang w:eastAsia="en-GB"/>
              </w:rPr>
            </w:pPr>
            <w:r w:rsidRPr="002822D7">
              <w:rPr>
                <w:b/>
                <w:bCs/>
                <w:color w:val="000000"/>
                <w:sz w:val="22"/>
                <w:szCs w:val="22"/>
                <w:lang w:eastAsia="en-GB"/>
              </w:rPr>
              <w:t>2015</w:t>
            </w:r>
          </w:p>
        </w:tc>
        <w:tc>
          <w:tcPr>
            <w:tcW w:w="828" w:type="dxa"/>
            <w:shd w:val="clear" w:color="auto" w:fill="auto"/>
            <w:noWrap/>
            <w:vAlign w:val="center"/>
            <w:hideMark/>
          </w:tcPr>
          <w:p w14:paraId="47BD4B06" w14:textId="77777777" w:rsidR="00865519" w:rsidRPr="002822D7" w:rsidRDefault="00865519" w:rsidP="005C7DB3">
            <w:pPr>
              <w:jc w:val="center"/>
              <w:rPr>
                <w:b/>
                <w:bCs/>
                <w:color w:val="000000"/>
                <w:sz w:val="22"/>
                <w:szCs w:val="22"/>
                <w:lang w:eastAsia="en-GB"/>
              </w:rPr>
            </w:pPr>
            <w:r w:rsidRPr="002822D7">
              <w:rPr>
                <w:b/>
                <w:bCs/>
                <w:color w:val="000000"/>
                <w:sz w:val="22"/>
                <w:szCs w:val="22"/>
                <w:lang w:eastAsia="en-GB"/>
              </w:rPr>
              <w:t>2016</w:t>
            </w:r>
          </w:p>
        </w:tc>
        <w:tc>
          <w:tcPr>
            <w:tcW w:w="828" w:type="dxa"/>
            <w:shd w:val="clear" w:color="auto" w:fill="auto"/>
            <w:noWrap/>
            <w:vAlign w:val="center"/>
            <w:hideMark/>
          </w:tcPr>
          <w:p w14:paraId="43F40636" w14:textId="77777777" w:rsidR="00865519" w:rsidRPr="002822D7" w:rsidRDefault="00865519" w:rsidP="005C7DB3">
            <w:pPr>
              <w:jc w:val="center"/>
              <w:rPr>
                <w:b/>
                <w:bCs/>
                <w:color w:val="000000"/>
                <w:sz w:val="22"/>
                <w:szCs w:val="22"/>
                <w:lang w:eastAsia="en-GB"/>
              </w:rPr>
            </w:pPr>
            <w:r w:rsidRPr="002822D7">
              <w:rPr>
                <w:b/>
                <w:bCs/>
                <w:color w:val="000000"/>
                <w:sz w:val="22"/>
                <w:szCs w:val="22"/>
                <w:lang w:eastAsia="en-GB"/>
              </w:rPr>
              <w:t>2017</w:t>
            </w:r>
          </w:p>
        </w:tc>
        <w:tc>
          <w:tcPr>
            <w:tcW w:w="828" w:type="dxa"/>
            <w:shd w:val="clear" w:color="auto" w:fill="auto"/>
            <w:noWrap/>
            <w:vAlign w:val="center"/>
            <w:hideMark/>
          </w:tcPr>
          <w:p w14:paraId="039F2814" w14:textId="77777777" w:rsidR="00865519" w:rsidRPr="002822D7" w:rsidRDefault="00865519" w:rsidP="005C7DB3">
            <w:pPr>
              <w:jc w:val="center"/>
              <w:rPr>
                <w:b/>
                <w:bCs/>
                <w:color w:val="000000"/>
                <w:sz w:val="22"/>
                <w:szCs w:val="22"/>
                <w:lang w:eastAsia="en-GB"/>
              </w:rPr>
            </w:pPr>
            <w:r w:rsidRPr="002822D7">
              <w:rPr>
                <w:b/>
                <w:bCs/>
                <w:color w:val="000000"/>
                <w:sz w:val="22"/>
                <w:szCs w:val="22"/>
                <w:lang w:eastAsia="en-GB"/>
              </w:rPr>
              <w:t>2018</w:t>
            </w:r>
          </w:p>
        </w:tc>
        <w:tc>
          <w:tcPr>
            <w:tcW w:w="828" w:type="dxa"/>
            <w:shd w:val="clear" w:color="auto" w:fill="auto"/>
            <w:noWrap/>
            <w:vAlign w:val="center"/>
            <w:hideMark/>
          </w:tcPr>
          <w:p w14:paraId="0BD12E4F" w14:textId="77777777" w:rsidR="00865519" w:rsidRPr="002822D7" w:rsidRDefault="00865519" w:rsidP="005C7DB3">
            <w:pPr>
              <w:jc w:val="center"/>
              <w:rPr>
                <w:b/>
                <w:bCs/>
                <w:color w:val="000000"/>
                <w:sz w:val="22"/>
                <w:szCs w:val="22"/>
                <w:lang w:eastAsia="en-GB"/>
              </w:rPr>
            </w:pPr>
            <w:r w:rsidRPr="002822D7">
              <w:rPr>
                <w:b/>
                <w:bCs/>
                <w:color w:val="000000"/>
                <w:sz w:val="22"/>
                <w:szCs w:val="22"/>
                <w:lang w:eastAsia="en-GB"/>
              </w:rPr>
              <w:t>2019</w:t>
            </w:r>
          </w:p>
        </w:tc>
        <w:tc>
          <w:tcPr>
            <w:tcW w:w="828" w:type="dxa"/>
            <w:vAlign w:val="center"/>
          </w:tcPr>
          <w:p w14:paraId="27445A2A" w14:textId="16A57B13" w:rsidR="00865519" w:rsidRPr="002822D7" w:rsidRDefault="00865519" w:rsidP="005C7DB3">
            <w:pPr>
              <w:jc w:val="center"/>
              <w:rPr>
                <w:b/>
                <w:bCs/>
                <w:color w:val="000000"/>
                <w:sz w:val="22"/>
                <w:szCs w:val="22"/>
                <w:lang w:eastAsia="en-GB"/>
              </w:rPr>
            </w:pPr>
            <w:r w:rsidRPr="002822D7">
              <w:rPr>
                <w:b/>
                <w:bCs/>
                <w:color w:val="000000"/>
                <w:sz w:val="22"/>
                <w:szCs w:val="22"/>
                <w:lang w:eastAsia="en-GB"/>
              </w:rPr>
              <w:t>2020</w:t>
            </w:r>
          </w:p>
        </w:tc>
        <w:tc>
          <w:tcPr>
            <w:tcW w:w="828" w:type="dxa"/>
            <w:vAlign w:val="center"/>
          </w:tcPr>
          <w:p w14:paraId="45F75F54" w14:textId="5AFBF0B2" w:rsidR="00865519" w:rsidRPr="002822D7" w:rsidRDefault="00865519" w:rsidP="00865519">
            <w:pPr>
              <w:jc w:val="center"/>
              <w:rPr>
                <w:b/>
                <w:bCs/>
                <w:color w:val="000000"/>
                <w:sz w:val="22"/>
                <w:szCs w:val="22"/>
                <w:lang w:eastAsia="en-GB"/>
              </w:rPr>
            </w:pPr>
            <w:r>
              <w:rPr>
                <w:b/>
                <w:bCs/>
                <w:color w:val="000000"/>
                <w:sz w:val="22"/>
                <w:szCs w:val="22"/>
                <w:lang w:eastAsia="en-GB"/>
              </w:rPr>
              <w:t>2021</w:t>
            </w:r>
          </w:p>
        </w:tc>
      </w:tr>
      <w:tr w:rsidR="00865519" w:rsidRPr="002822D7" w14:paraId="3C041E5F" w14:textId="1C691EAD" w:rsidTr="00FE50BC">
        <w:trPr>
          <w:trHeight w:val="300"/>
        </w:trPr>
        <w:tc>
          <w:tcPr>
            <w:tcW w:w="1129" w:type="dxa"/>
            <w:shd w:val="clear" w:color="auto" w:fill="auto"/>
            <w:noWrap/>
            <w:vAlign w:val="center"/>
            <w:hideMark/>
          </w:tcPr>
          <w:p w14:paraId="1D934835" w14:textId="05AC8624" w:rsidR="00865519" w:rsidRPr="002822D7" w:rsidRDefault="00865519" w:rsidP="005C7DB3">
            <w:pPr>
              <w:rPr>
                <w:color w:val="000000"/>
                <w:sz w:val="22"/>
                <w:szCs w:val="22"/>
                <w:lang w:eastAsia="en-GB"/>
              </w:rPr>
            </w:pPr>
            <w:r w:rsidRPr="002822D7">
              <w:rPr>
                <w:color w:val="000000"/>
                <w:sz w:val="22"/>
                <w:szCs w:val="22"/>
                <w:lang w:eastAsia="en-GB"/>
              </w:rPr>
              <w:t xml:space="preserve">0 to </w:t>
            </w:r>
            <w:r>
              <w:rPr>
                <w:color w:val="000000"/>
                <w:sz w:val="22"/>
                <w:szCs w:val="22"/>
                <w:lang w:eastAsia="en-GB"/>
              </w:rPr>
              <w:t>4</w:t>
            </w:r>
          </w:p>
        </w:tc>
        <w:tc>
          <w:tcPr>
            <w:tcW w:w="951" w:type="dxa"/>
            <w:shd w:val="clear" w:color="auto" w:fill="auto"/>
            <w:noWrap/>
            <w:vAlign w:val="center"/>
          </w:tcPr>
          <w:p w14:paraId="3645CFBA" w14:textId="0518467E" w:rsidR="00865519" w:rsidRPr="00A25741" w:rsidRDefault="00865519" w:rsidP="005C7DB3">
            <w:pPr>
              <w:jc w:val="center"/>
              <w:rPr>
                <w:color w:val="000000"/>
                <w:sz w:val="22"/>
                <w:szCs w:val="22"/>
                <w:lang w:eastAsia="en-GB"/>
              </w:rPr>
            </w:pPr>
            <w:r w:rsidRPr="00A25741">
              <w:rPr>
                <w:color w:val="000000"/>
                <w:sz w:val="22"/>
                <w:szCs w:val="22"/>
              </w:rPr>
              <w:t>15993</w:t>
            </w:r>
          </w:p>
        </w:tc>
        <w:tc>
          <w:tcPr>
            <w:tcW w:w="828" w:type="dxa"/>
            <w:shd w:val="clear" w:color="auto" w:fill="auto"/>
            <w:vAlign w:val="center"/>
          </w:tcPr>
          <w:p w14:paraId="2F3EEE6F" w14:textId="22C661D9" w:rsidR="00865519" w:rsidRPr="00A25741" w:rsidRDefault="00865519" w:rsidP="005C7DB3">
            <w:pPr>
              <w:jc w:val="center"/>
              <w:rPr>
                <w:color w:val="000000"/>
                <w:sz w:val="22"/>
                <w:szCs w:val="22"/>
                <w:lang w:eastAsia="en-GB"/>
              </w:rPr>
            </w:pPr>
            <w:r w:rsidRPr="00A25741">
              <w:rPr>
                <w:color w:val="000000"/>
                <w:sz w:val="22"/>
                <w:szCs w:val="22"/>
              </w:rPr>
              <w:t>16582</w:t>
            </w:r>
          </w:p>
        </w:tc>
        <w:tc>
          <w:tcPr>
            <w:tcW w:w="828" w:type="dxa"/>
            <w:shd w:val="clear" w:color="auto" w:fill="auto"/>
            <w:noWrap/>
            <w:vAlign w:val="center"/>
          </w:tcPr>
          <w:p w14:paraId="1C4DE654" w14:textId="26B25621" w:rsidR="00865519" w:rsidRPr="00A25741" w:rsidRDefault="00865519" w:rsidP="005C7DB3">
            <w:pPr>
              <w:jc w:val="center"/>
              <w:rPr>
                <w:color w:val="000000"/>
                <w:sz w:val="22"/>
                <w:szCs w:val="22"/>
                <w:lang w:eastAsia="en-GB"/>
              </w:rPr>
            </w:pPr>
            <w:r w:rsidRPr="00A25741">
              <w:rPr>
                <w:color w:val="000000"/>
                <w:sz w:val="22"/>
                <w:szCs w:val="22"/>
              </w:rPr>
              <w:t>16949</w:t>
            </w:r>
          </w:p>
        </w:tc>
        <w:tc>
          <w:tcPr>
            <w:tcW w:w="828" w:type="dxa"/>
            <w:shd w:val="clear" w:color="auto" w:fill="auto"/>
            <w:noWrap/>
            <w:vAlign w:val="center"/>
          </w:tcPr>
          <w:p w14:paraId="7389DB5C" w14:textId="712BA629" w:rsidR="00865519" w:rsidRPr="00A25741" w:rsidRDefault="00865519" w:rsidP="005C7DB3">
            <w:pPr>
              <w:jc w:val="center"/>
              <w:rPr>
                <w:color w:val="000000"/>
                <w:sz w:val="22"/>
                <w:szCs w:val="22"/>
                <w:lang w:eastAsia="en-GB"/>
              </w:rPr>
            </w:pPr>
            <w:r w:rsidRPr="00A25741">
              <w:rPr>
                <w:color w:val="000000"/>
                <w:sz w:val="22"/>
                <w:szCs w:val="22"/>
              </w:rPr>
              <w:t>17281</w:t>
            </w:r>
          </w:p>
        </w:tc>
        <w:tc>
          <w:tcPr>
            <w:tcW w:w="828" w:type="dxa"/>
            <w:shd w:val="clear" w:color="auto" w:fill="auto"/>
            <w:noWrap/>
            <w:vAlign w:val="center"/>
          </w:tcPr>
          <w:p w14:paraId="0AB15721" w14:textId="5238ED3F" w:rsidR="00865519" w:rsidRPr="00A25741" w:rsidRDefault="00865519" w:rsidP="005C7DB3">
            <w:pPr>
              <w:jc w:val="center"/>
              <w:rPr>
                <w:color w:val="000000"/>
                <w:sz w:val="22"/>
                <w:szCs w:val="22"/>
                <w:lang w:eastAsia="en-GB"/>
              </w:rPr>
            </w:pPr>
            <w:r w:rsidRPr="00A25741">
              <w:rPr>
                <w:color w:val="000000"/>
                <w:sz w:val="22"/>
                <w:szCs w:val="22"/>
              </w:rPr>
              <w:t>17185</w:t>
            </w:r>
          </w:p>
        </w:tc>
        <w:tc>
          <w:tcPr>
            <w:tcW w:w="828" w:type="dxa"/>
            <w:shd w:val="clear" w:color="auto" w:fill="auto"/>
            <w:noWrap/>
            <w:vAlign w:val="center"/>
          </w:tcPr>
          <w:p w14:paraId="50684675" w14:textId="62B33A58" w:rsidR="00865519" w:rsidRPr="00A25741" w:rsidRDefault="00865519" w:rsidP="005C7DB3">
            <w:pPr>
              <w:jc w:val="center"/>
              <w:rPr>
                <w:color w:val="000000"/>
                <w:sz w:val="22"/>
                <w:szCs w:val="22"/>
                <w:lang w:eastAsia="en-GB"/>
              </w:rPr>
            </w:pPr>
            <w:r w:rsidRPr="00A25741">
              <w:rPr>
                <w:color w:val="000000"/>
                <w:sz w:val="22"/>
                <w:szCs w:val="22"/>
              </w:rPr>
              <w:t>17246</w:t>
            </w:r>
          </w:p>
        </w:tc>
        <w:tc>
          <w:tcPr>
            <w:tcW w:w="828" w:type="dxa"/>
            <w:shd w:val="clear" w:color="auto" w:fill="auto"/>
            <w:noWrap/>
            <w:vAlign w:val="center"/>
          </w:tcPr>
          <w:p w14:paraId="4B63DC8E" w14:textId="40CD7E04" w:rsidR="00865519" w:rsidRPr="00A25741" w:rsidRDefault="00865519" w:rsidP="005C7DB3">
            <w:pPr>
              <w:jc w:val="center"/>
              <w:rPr>
                <w:color w:val="000000"/>
                <w:sz w:val="22"/>
                <w:szCs w:val="22"/>
                <w:lang w:eastAsia="en-GB"/>
              </w:rPr>
            </w:pPr>
            <w:r w:rsidRPr="00A25741">
              <w:rPr>
                <w:color w:val="000000"/>
                <w:sz w:val="22"/>
                <w:szCs w:val="22"/>
              </w:rPr>
              <w:t>16982</w:t>
            </w:r>
          </w:p>
        </w:tc>
        <w:tc>
          <w:tcPr>
            <w:tcW w:w="828" w:type="dxa"/>
            <w:shd w:val="clear" w:color="auto" w:fill="auto"/>
            <w:noWrap/>
            <w:vAlign w:val="center"/>
          </w:tcPr>
          <w:p w14:paraId="51111C8F" w14:textId="612099D7" w:rsidR="00865519" w:rsidRPr="00A25741" w:rsidRDefault="00865519" w:rsidP="005C7DB3">
            <w:pPr>
              <w:jc w:val="center"/>
              <w:rPr>
                <w:color w:val="000000"/>
                <w:sz w:val="22"/>
                <w:szCs w:val="22"/>
                <w:lang w:eastAsia="en-GB"/>
              </w:rPr>
            </w:pPr>
            <w:r w:rsidRPr="00A25741">
              <w:rPr>
                <w:color w:val="000000"/>
                <w:sz w:val="22"/>
                <w:szCs w:val="22"/>
              </w:rPr>
              <w:t>16894</w:t>
            </w:r>
          </w:p>
        </w:tc>
        <w:tc>
          <w:tcPr>
            <w:tcW w:w="828" w:type="dxa"/>
            <w:shd w:val="clear" w:color="auto" w:fill="auto"/>
            <w:noWrap/>
            <w:vAlign w:val="center"/>
          </w:tcPr>
          <w:p w14:paraId="18818626" w14:textId="4AF83A96" w:rsidR="00865519" w:rsidRPr="00A25741" w:rsidRDefault="00865519" w:rsidP="005C7DB3">
            <w:pPr>
              <w:jc w:val="center"/>
              <w:rPr>
                <w:color w:val="000000"/>
                <w:sz w:val="22"/>
                <w:szCs w:val="22"/>
                <w:lang w:eastAsia="en-GB"/>
              </w:rPr>
            </w:pPr>
            <w:r w:rsidRPr="00A25741">
              <w:rPr>
                <w:color w:val="000000"/>
                <w:sz w:val="22"/>
                <w:szCs w:val="22"/>
              </w:rPr>
              <w:t>16805</w:t>
            </w:r>
          </w:p>
        </w:tc>
        <w:tc>
          <w:tcPr>
            <w:tcW w:w="828" w:type="dxa"/>
            <w:vAlign w:val="center"/>
          </w:tcPr>
          <w:p w14:paraId="17AE1424" w14:textId="1CB22D97" w:rsidR="00865519" w:rsidRPr="00A25741" w:rsidRDefault="00865519" w:rsidP="005C7DB3">
            <w:pPr>
              <w:jc w:val="center"/>
              <w:rPr>
                <w:color w:val="000000"/>
                <w:sz w:val="22"/>
                <w:szCs w:val="22"/>
                <w:lang w:eastAsia="en-GB"/>
              </w:rPr>
            </w:pPr>
            <w:r w:rsidRPr="00A25741">
              <w:rPr>
                <w:color w:val="000000"/>
                <w:sz w:val="22"/>
                <w:szCs w:val="22"/>
              </w:rPr>
              <w:t>16493</w:t>
            </w:r>
          </w:p>
        </w:tc>
        <w:tc>
          <w:tcPr>
            <w:tcW w:w="828" w:type="dxa"/>
            <w:vAlign w:val="center"/>
          </w:tcPr>
          <w:p w14:paraId="07CA9384" w14:textId="2E1DA7BF" w:rsidR="00865519" w:rsidRPr="00A25741" w:rsidRDefault="00865519" w:rsidP="00865519">
            <w:pPr>
              <w:jc w:val="center"/>
              <w:rPr>
                <w:color w:val="000000"/>
                <w:sz w:val="22"/>
                <w:szCs w:val="22"/>
                <w:lang w:eastAsia="en-GB"/>
              </w:rPr>
            </w:pPr>
            <w:r w:rsidRPr="00A25741">
              <w:rPr>
                <w:color w:val="000000"/>
                <w:sz w:val="22"/>
                <w:szCs w:val="22"/>
              </w:rPr>
              <w:t>15575</w:t>
            </w:r>
          </w:p>
        </w:tc>
      </w:tr>
      <w:tr w:rsidR="00865519" w:rsidRPr="002822D7" w14:paraId="1A55E722" w14:textId="14F2D6EA" w:rsidTr="00FE50BC">
        <w:trPr>
          <w:trHeight w:val="300"/>
        </w:trPr>
        <w:tc>
          <w:tcPr>
            <w:tcW w:w="1129" w:type="dxa"/>
            <w:shd w:val="clear" w:color="auto" w:fill="auto"/>
            <w:noWrap/>
            <w:vAlign w:val="center"/>
            <w:hideMark/>
          </w:tcPr>
          <w:p w14:paraId="050DEFB1" w14:textId="6E0CA2BB" w:rsidR="00865519" w:rsidRPr="002822D7" w:rsidRDefault="00865519" w:rsidP="005C7DB3">
            <w:pPr>
              <w:rPr>
                <w:color w:val="000000"/>
                <w:sz w:val="22"/>
                <w:szCs w:val="22"/>
                <w:lang w:eastAsia="en-GB"/>
              </w:rPr>
            </w:pPr>
            <w:r>
              <w:rPr>
                <w:color w:val="000000"/>
                <w:sz w:val="22"/>
                <w:szCs w:val="22"/>
                <w:lang w:eastAsia="en-GB"/>
              </w:rPr>
              <w:t>5</w:t>
            </w:r>
            <w:r w:rsidRPr="002822D7">
              <w:rPr>
                <w:color w:val="000000"/>
                <w:sz w:val="22"/>
                <w:szCs w:val="22"/>
                <w:lang w:eastAsia="en-GB"/>
              </w:rPr>
              <w:t xml:space="preserve"> to 10</w:t>
            </w:r>
          </w:p>
        </w:tc>
        <w:tc>
          <w:tcPr>
            <w:tcW w:w="951" w:type="dxa"/>
            <w:shd w:val="clear" w:color="auto" w:fill="auto"/>
            <w:noWrap/>
            <w:vAlign w:val="center"/>
          </w:tcPr>
          <w:p w14:paraId="02B1103A" w14:textId="03F8DD00" w:rsidR="00865519" w:rsidRPr="00A25741" w:rsidRDefault="008F2474" w:rsidP="005C7DB3">
            <w:pPr>
              <w:jc w:val="center"/>
              <w:rPr>
                <w:color w:val="000000"/>
                <w:sz w:val="22"/>
                <w:szCs w:val="22"/>
                <w:lang w:eastAsia="en-GB"/>
              </w:rPr>
            </w:pPr>
            <w:r w:rsidRPr="00A25741">
              <w:rPr>
                <w:color w:val="000000"/>
                <w:sz w:val="22"/>
                <w:szCs w:val="22"/>
              </w:rPr>
              <w:t>17290</w:t>
            </w:r>
          </w:p>
        </w:tc>
        <w:tc>
          <w:tcPr>
            <w:tcW w:w="828" w:type="dxa"/>
            <w:shd w:val="clear" w:color="auto" w:fill="auto"/>
            <w:vAlign w:val="center"/>
          </w:tcPr>
          <w:p w14:paraId="5DC83A04" w14:textId="0AD4D8AA" w:rsidR="00865519" w:rsidRPr="00A25741" w:rsidRDefault="008F2474" w:rsidP="005C7DB3">
            <w:pPr>
              <w:jc w:val="center"/>
              <w:rPr>
                <w:color w:val="000000"/>
                <w:sz w:val="22"/>
                <w:szCs w:val="22"/>
                <w:lang w:eastAsia="en-GB"/>
              </w:rPr>
            </w:pPr>
            <w:r w:rsidRPr="00A25741">
              <w:rPr>
                <w:color w:val="000000"/>
                <w:sz w:val="22"/>
                <w:szCs w:val="22"/>
              </w:rPr>
              <w:t>17713</w:t>
            </w:r>
          </w:p>
        </w:tc>
        <w:tc>
          <w:tcPr>
            <w:tcW w:w="828" w:type="dxa"/>
            <w:shd w:val="clear" w:color="auto" w:fill="auto"/>
            <w:noWrap/>
            <w:vAlign w:val="center"/>
          </w:tcPr>
          <w:p w14:paraId="65668717" w14:textId="26B8CF7D" w:rsidR="00865519" w:rsidRPr="00A25741" w:rsidRDefault="008F2474" w:rsidP="005C7DB3">
            <w:pPr>
              <w:jc w:val="center"/>
              <w:rPr>
                <w:color w:val="000000"/>
                <w:sz w:val="22"/>
                <w:szCs w:val="22"/>
                <w:lang w:eastAsia="en-GB"/>
              </w:rPr>
            </w:pPr>
            <w:r w:rsidRPr="00A25741">
              <w:rPr>
                <w:color w:val="000000"/>
                <w:sz w:val="22"/>
                <w:szCs w:val="22"/>
              </w:rPr>
              <w:t>18456</w:t>
            </w:r>
          </w:p>
        </w:tc>
        <w:tc>
          <w:tcPr>
            <w:tcW w:w="828" w:type="dxa"/>
            <w:shd w:val="clear" w:color="auto" w:fill="auto"/>
            <w:noWrap/>
            <w:vAlign w:val="center"/>
          </w:tcPr>
          <w:p w14:paraId="295973D2" w14:textId="77C65C80" w:rsidR="00865519" w:rsidRPr="00A25741" w:rsidRDefault="008F2474" w:rsidP="005C7DB3">
            <w:pPr>
              <w:jc w:val="center"/>
              <w:rPr>
                <w:color w:val="000000"/>
                <w:sz w:val="22"/>
                <w:szCs w:val="22"/>
                <w:lang w:eastAsia="en-GB"/>
              </w:rPr>
            </w:pPr>
            <w:r w:rsidRPr="00A25741">
              <w:rPr>
                <w:color w:val="000000"/>
                <w:sz w:val="22"/>
                <w:szCs w:val="22"/>
              </w:rPr>
              <w:t>19020</w:t>
            </w:r>
          </w:p>
        </w:tc>
        <w:tc>
          <w:tcPr>
            <w:tcW w:w="828" w:type="dxa"/>
            <w:shd w:val="clear" w:color="auto" w:fill="auto"/>
            <w:noWrap/>
            <w:vAlign w:val="center"/>
          </w:tcPr>
          <w:p w14:paraId="67BCF96E" w14:textId="02776525" w:rsidR="00865519" w:rsidRPr="00A25741" w:rsidRDefault="008F2474" w:rsidP="005C7DB3">
            <w:pPr>
              <w:jc w:val="center"/>
              <w:rPr>
                <w:color w:val="000000"/>
                <w:sz w:val="22"/>
                <w:szCs w:val="22"/>
                <w:lang w:eastAsia="en-GB"/>
              </w:rPr>
            </w:pPr>
            <w:r w:rsidRPr="00A25741">
              <w:rPr>
                <w:color w:val="000000"/>
                <w:sz w:val="22"/>
                <w:szCs w:val="22"/>
              </w:rPr>
              <w:t>19462</w:t>
            </w:r>
          </w:p>
        </w:tc>
        <w:tc>
          <w:tcPr>
            <w:tcW w:w="828" w:type="dxa"/>
            <w:shd w:val="clear" w:color="auto" w:fill="auto"/>
            <w:noWrap/>
            <w:vAlign w:val="center"/>
          </w:tcPr>
          <w:p w14:paraId="57B9EF5D" w14:textId="726DFD9D" w:rsidR="00865519" w:rsidRPr="00A25741" w:rsidRDefault="008F2474" w:rsidP="005C7DB3">
            <w:pPr>
              <w:jc w:val="center"/>
              <w:rPr>
                <w:color w:val="000000"/>
                <w:sz w:val="22"/>
                <w:szCs w:val="22"/>
                <w:lang w:eastAsia="en-GB"/>
              </w:rPr>
            </w:pPr>
            <w:r w:rsidRPr="00A25741">
              <w:rPr>
                <w:color w:val="000000"/>
                <w:sz w:val="22"/>
                <w:szCs w:val="22"/>
              </w:rPr>
              <w:t>19526</w:t>
            </w:r>
          </w:p>
        </w:tc>
        <w:tc>
          <w:tcPr>
            <w:tcW w:w="828" w:type="dxa"/>
            <w:shd w:val="clear" w:color="auto" w:fill="auto"/>
            <w:noWrap/>
            <w:vAlign w:val="center"/>
          </w:tcPr>
          <w:p w14:paraId="1320AD09" w14:textId="6EEA602B" w:rsidR="00865519" w:rsidRPr="00A25741" w:rsidRDefault="008F2474" w:rsidP="005C7DB3">
            <w:pPr>
              <w:jc w:val="center"/>
              <w:rPr>
                <w:color w:val="000000"/>
                <w:sz w:val="22"/>
                <w:szCs w:val="22"/>
                <w:lang w:eastAsia="en-GB"/>
              </w:rPr>
            </w:pPr>
            <w:r w:rsidRPr="00A25741">
              <w:rPr>
                <w:color w:val="000000"/>
                <w:sz w:val="22"/>
                <w:szCs w:val="22"/>
              </w:rPr>
              <w:t>19745</w:t>
            </w:r>
          </w:p>
        </w:tc>
        <w:tc>
          <w:tcPr>
            <w:tcW w:w="828" w:type="dxa"/>
            <w:shd w:val="clear" w:color="auto" w:fill="auto"/>
            <w:noWrap/>
            <w:vAlign w:val="center"/>
          </w:tcPr>
          <w:p w14:paraId="679AFB79" w14:textId="6F907861" w:rsidR="00865519" w:rsidRPr="00A25741" w:rsidRDefault="008F2474" w:rsidP="005C7DB3">
            <w:pPr>
              <w:jc w:val="center"/>
              <w:rPr>
                <w:color w:val="000000"/>
                <w:sz w:val="22"/>
                <w:szCs w:val="22"/>
                <w:lang w:eastAsia="en-GB"/>
              </w:rPr>
            </w:pPr>
            <w:r w:rsidRPr="00A25741">
              <w:rPr>
                <w:color w:val="000000"/>
                <w:sz w:val="22"/>
                <w:szCs w:val="22"/>
              </w:rPr>
              <w:t>19855</w:t>
            </w:r>
          </w:p>
        </w:tc>
        <w:tc>
          <w:tcPr>
            <w:tcW w:w="828" w:type="dxa"/>
            <w:shd w:val="clear" w:color="auto" w:fill="auto"/>
            <w:noWrap/>
            <w:vAlign w:val="center"/>
          </w:tcPr>
          <w:p w14:paraId="3FAE3C8E" w14:textId="54CB5B96" w:rsidR="00865519" w:rsidRPr="00A25741" w:rsidRDefault="008F2474" w:rsidP="005C7DB3">
            <w:pPr>
              <w:jc w:val="center"/>
              <w:rPr>
                <w:color w:val="000000"/>
                <w:sz w:val="22"/>
                <w:szCs w:val="22"/>
                <w:lang w:eastAsia="en-GB"/>
              </w:rPr>
            </w:pPr>
            <w:r w:rsidRPr="00A25741">
              <w:rPr>
                <w:color w:val="000000"/>
                <w:sz w:val="22"/>
                <w:szCs w:val="22"/>
              </w:rPr>
              <w:t>19812</w:t>
            </w:r>
          </w:p>
        </w:tc>
        <w:tc>
          <w:tcPr>
            <w:tcW w:w="828" w:type="dxa"/>
            <w:vAlign w:val="center"/>
          </w:tcPr>
          <w:p w14:paraId="1A7FE6FC" w14:textId="72B56941" w:rsidR="00865519" w:rsidRPr="00A25741" w:rsidRDefault="008F2474" w:rsidP="005C7DB3">
            <w:pPr>
              <w:jc w:val="center"/>
              <w:rPr>
                <w:color w:val="000000"/>
                <w:sz w:val="22"/>
                <w:szCs w:val="22"/>
                <w:lang w:eastAsia="en-GB"/>
              </w:rPr>
            </w:pPr>
            <w:r w:rsidRPr="00A25741">
              <w:rPr>
                <w:color w:val="000000"/>
                <w:sz w:val="22"/>
                <w:szCs w:val="22"/>
              </w:rPr>
              <w:t>19682</w:t>
            </w:r>
          </w:p>
        </w:tc>
        <w:tc>
          <w:tcPr>
            <w:tcW w:w="828" w:type="dxa"/>
            <w:vAlign w:val="center"/>
          </w:tcPr>
          <w:p w14:paraId="432B79E8" w14:textId="7F50C31D" w:rsidR="00865519" w:rsidRPr="00A25741" w:rsidRDefault="008F2474" w:rsidP="00865519">
            <w:pPr>
              <w:jc w:val="center"/>
              <w:rPr>
                <w:color w:val="000000"/>
                <w:sz w:val="22"/>
                <w:szCs w:val="22"/>
                <w:lang w:eastAsia="en-GB"/>
              </w:rPr>
            </w:pPr>
            <w:r w:rsidRPr="00A25741">
              <w:rPr>
                <w:color w:val="000000"/>
                <w:sz w:val="22"/>
                <w:szCs w:val="22"/>
              </w:rPr>
              <w:t>19378</w:t>
            </w:r>
          </w:p>
        </w:tc>
      </w:tr>
      <w:tr w:rsidR="00865519" w:rsidRPr="002822D7" w14:paraId="7321A240" w14:textId="46885905" w:rsidTr="00FE50BC">
        <w:trPr>
          <w:trHeight w:val="300"/>
        </w:trPr>
        <w:tc>
          <w:tcPr>
            <w:tcW w:w="1129" w:type="dxa"/>
            <w:shd w:val="clear" w:color="auto" w:fill="auto"/>
            <w:noWrap/>
            <w:vAlign w:val="center"/>
            <w:hideMark/>
          </w:tcPr>
          <w:p w14:paraId="6C90CB21" w14:textId="77777777" w:rsidR="00865519" w:rsidRPr="002822D7" w:rsidRDefault="00865519" w:rsidP="005C7DB3">
            <w:pPr>
              <w:rPr>
                <w:color w:val="000000"/>
                <w:sz w:val="22"/>
                <w:szCs w:val="22"/>
                <w:lang w:eastAsia="en-GB"/>
              </w:rPr>
            </w:pPr>
            <w:r w:rsidRPr="002822D7">
              <w:rPr>
                <w:color w:val="000000"/>
                <w:sz w:val="22"/>
                <w:szCs w:val="22"/>
                <w:lang w:eastAsia="en-GB"/>
              </w:rPr>
              <w:t>11 to 15</w:t>
            </w:r>
          </w:p>
        </w:tc>
        <w:tc>
          <w:tcPr>
            <w:tcW w:w="951" w:type="dxa"/>
            <w:shd w:val="clear" w:color="auto" w:fill="auto"/>
            <w:noWrap/>
            <w:vAlign w:val="center"/>
          </w:tcPr>
          <w:p w14:paraId="09CDB1A5" w14:textId="018AAE8E" w:rsidR="00865519" w:rsidRPr="00A25741" w:rsidRDefault="00A25741" w:rsidP="005C7DB3">
            <w:pPr>
              <w:jc w:val="center"/>
              <w:rPr>
                <w:color w:val="000000"/>
                <w:sz w:val="22"/>
                <w:szCs w:val="22"/>
                <w:lang w:eastAsia="en-GB"/>
              </w:rPr>
            </w:pPr>
            <w:r w:rsidRPr="00A25741">
              <w:rPr>
                <w:color w:val="000000"/>
                <w:sz w:val="22"/>
                <w:szCs w:val="22"/>
              </w:rPr>
              <w:t>14892</w:t>
            </w:r>
          </w:p>
        </w:tc>
        <w:tc>
          <w:tcPr>
            <w:tcW w:w="828" w:type="dxa"/>
            <w:shd w:val="clear" w:color="auto" w:fill="auto"/>
            <w:vAlign w:val="center"/>
          </w:tcPr>
          <w:p w14:paraId="3324B5C6" w14:textId="4720C707" w:rsidR="00865519" w:rsidRPr="00A25741" w:rsidRDefault="00A25741" w:rsidP="005C7DB3">
            <w:pPr>
              <w:jc w:val="center"/>
              <w:rPr>
                <w:color w:val="000000"/>
                <w:sz w:val="22"/>
                <w:szCs w:val="22"/>
                <w:lang w:eastAsia="en-GB"/>
              </w:rPr>
            </w:pPr>
            <w:r w:rsidRPr="00A25741">
              <w:rPr>
                <w:color w:val="000000"/>
                <w:sz w:val="22"/>
                <w:szCs w:val="22"/>
              </w:rPr>
              <w:t>14691</w:t>
            </w:r>
          </w:p>
        </w:tc>
        <w:tc>
          <w:tcPr>
            <w:tcW w:w="828" w:type="dxa"/>
            <w:shd w:val="clear" w:color="auto" w:fill="auto"/>
            <w:noWrap/>
            <w:vAlign w:val="center"/>
          </w:tcPr>
          <w:p w14:paraId="225E3490" w14:textId="4ECAAAB6" w:rsidR="00865519" w:rsidRPr="00A25741" w:rsidRDefault="00A25741" w:rsidP="005C7DB3">
            <w:pPr>
              <w:jc w:val="center"/>
              <w:rPr>
                <w:color w:val="000000"/>
                <w:sz w:val="22"/>
                <w:szCs w:val="22"/>
                <w:lang w:eastAsia="en-GB"/>
              </w:rPr>
            </w:pPr>
            <w:r w:rsidRPr="00A25741">
              <w:rPr>
                <w:color w:val="000000"/>
                <w:sz w:val="22"/>
                <w:szCs w:val="22"/>
              </w:rPr>
              <w:t>14344</w:t>
            </w:r>
          </w:p>
        </w:tc>
        <w:tc>
          <w:tcPr>
            <w:tcW w:w="828" w:type="dxa"/>
            <w:shd w:val="clear" w:color="auto" w:fill="auto"/>
            <w:noWrap/>
            <w:vAlign w:val="center"/>
          </w:tcPr>
          <w:p w14:paraId="131344AB" w14:textId="42F0E0D5" w:rsidR="00865519" w:rsidRPr="00A25741" w:rsidRDefault="00A25741" w:rsidP="005C7DB3">
            <w:pPr>
              <w:jc w:val="center"/>
              <w:rPr>
                <w:color w:val="000000"/>
                <w:sz w:val="22"/>
                <w:szCs w:val="22"/>
                <w:lang w:eastAsia="en-GB"/>
              </w:rPr>
            </w:pPr>
            <w:r w:rsidRPr="00A25741">
              <w:rPr>
                <w:color w:val="000000"/>
                <w:sz w:val="22"/>
                <w:szCs w:val="22"/>
              </w:rPr>
              <w:t>14354</w:t>
            </w:r>
          </w:p>
        </w:tc>
        <w:tc>
          <w:tcPr>
            <w:tcW w:w="828" w:type="dxa"/>
            <w:shd w:val="clear" w:color="auto" w:fill="auto"/>
            <w:noWrap/>
            <w:vAlign w:val="center"/>
          </w:tcPr>
          <w:p w14:paraId="653E0B1E" w14:textId="546696AF" w:rsidR="00865519" w:rsidRPr="00A25741" w:rsidRDefault="00A25741" w:rsidP="005C7DB3">
            <w:pPr>
              <w:jc w:val="center"/>
              <w:rPr>
                <w:color w:val="000000"/>
                <w:sz w:val="22"/>
                <w:szCs w:val="22"/>
                <w:lang w:eastAsia="en-GB"/>
              </w:rPr>
            </w:pPr>
            <w:r w:rsidRPr="00A25741">
              <w:rPr>
                <w:color w:val="000000"/>
                <w:sz w:val="22"/>
                <w:szCs w:val="22"/>
              </w:rPr>
              <w:t>14678</w:t>
            </w:r>
          </w:p>
        </w:tc>
        <w:tc>
          <w:tcPr>
            <w:tcW w:w="828" w:type="dxa"/>
            <w:shd w:val="clear" w:color="auto" w:fill="auto"/>
            <w:noWrap/>
            <w:vAlign w:val="center"/>
          </w:tcPr>
          <w:p w14:paraId="183D642E" w14:textId="6A1700D8" w:rsidR="00865519" w:rsidRPr="00A25741" w:rsidRDefault="00A25741" w:rsidP="005C7DB3">
            <w:pPr>
              <w:jc w:val="center"/>
              <w:rPr>
                <w:color w:val="000000"/>
                <w:sz w:val="22"/>
                <w:szCs w:val="22"/>
                <w:lang w:eastAsia="en-GB"/>
              </w:rPr>
            </w:pPr>
            <w:r w:rsidRPr="00A25741">
              <w:rPr>
                <w:color w:val="000000"/>
                <w:sz w:val="22"/>
                <w:szCs w:val="22"/>
              </w:rPr>
              <w:t>15058</w:t>
            </w:r>
          </w:p>
        </w:tc>
        <w:tc>
          <w:tcPr>
            <w:tcW w:w="828" w:type="dxa"/>
            <w:shd w:val="clear" w:color="auto" w:fill="auto"/>
            <w:noWrap/>
            <w:vAlign w:val="center"/>
          </w:tcPr>
          <w:p w14:paraId="0638E9DE" w14:textId="58688CC9" w:rsidR="00865519" w:rsidRPr="00A25741" w:rsidRDefault="00A25741" w:rsidP="005C7DB3">
            <w:pPr>
              <w:jc w:val="center"/>
              <w:rPr>
                <w:color w:val="000000"/>
                <w:sz w:val="22"/>
                <w:szCs w:val="22"/>
                <w:lang w:eastAsia="en-GB"/>
              </w:rPr>
            </w:pPr>
            <w:r w:rsidRPr="00A25741">
              <w:rPr>
                <w:color w:val="000000"/>
                <w:sz w:val="22"/>
                <w:szCs w:val="22"/>
              </w:rPr>
              <w:t>15455</w:t>
            </w:r>
          </w:p>
        </w:tc>
        <w:tc>
          <w:tcPr>
            <w:tcW w:w="828" w:type="dxa"/>
            <w:shd w:val="clear" w:color="auto" w:fill="auto"/>
            <w:noWrap/>
            <w:vAlign w:val="center"/>
          </w:tcPr>
          <w:p w14:paraId="5070A31E" w14:textId="69743FDC" w:rsidR="00865519" w:rsidRPr="00A25741" w:rsidRDefault="00A25741" w:rsidP="005C7DB3">
            <w:pPr>
              <w:jc w:val="center"/>
              <w:rPr>
                <w:color w:val="000000"/>
                <w:sz w:val="22"/>
                <w:szCs w:val="22"/>
                <w:lang w:eastAsia="en-GB"/>
              </w:rPr>
            </w:pPr>
            <w:r w:rsidRPr="00A25741">
              <w:rPr>
                <w:color w:val="000000"/>
                <w:sz w:val="22"/>
                <w:szCs w:val="22"/>
              </w:rPr>
              <w:t>15912</w:t>
            </w:r>
          </w:p>
        </w:tc>
        <w:tc>
          <w:tcPr>
            <w:tcW w:w="828" w:type="dxa"/>
            <w:shd w:val="clear" w:color="auto" w:fill="auto"/>
            <w:noWrap/>
            <w:vAlign w:val="center"/>
          </w:tcPr>
          <w:p w14:paraId="0C2E9BF4" w14:textId="6C0FC635" w:rsidR="00865519" w:rsidRPr="00A25741" w:rsidRDefault="00A25741" w:rsidP="005C7DB3">
            <w:pPr>
              <w:jc w:val="center"/>
              <w:rPr>
                <w:color w:val="000000"/>
                <w:sz w:val="22"/>
                <w:szCs w:val="22"/>
                <w:lang w:eastAsia="en-GB"/>
              </w:rPr>
            </w:pPr>
            <w:r w:rsidRPr="00A25741">
              <w:rPr>
                <w:color w:val="000000"/>
                <w:sz w:val="22"/>
                <w:szCs w:val="22"/>
              </w:rPr>
              <w:t>16355</w:t>
            </w:r>
          </w:p>
        </w:tc>
        <w:tc>
          <w:tcPr>
            <w:tcW w:w="828" w:type="dxa"/>
            <w:vAlign w:val="center"/>
          </w:tcPr>
          <w:p w14:paraId="67D33223" w14:textId="0FF286EE" w:rsidR="00865519" w:rsidRPr="00A25741" w:rsidRDefault="00A25741" w:rsidP="005C7DB3">
            <w:pPr>
              <w:jc w:val="center"/>
              <w:rPr>
                <w:color w:val="000000"/>
                <w:sz w:val="22"/>
                <w:szCs w:val="22"/>
                <w:lang w:eastAsia="en-GB"/>
              </w:rPr>
            </w:pPr>
            <w:r w:rsidRPr="00A25741">
              <w:rPr>
                <w:color w:val="000000"/>
                <w:sz w:val="22"/>
                <w:szCs w:val="22"/>
              </w:rPr>
              <w:t>16416</w:t>
            </w:r>
          </w:p>
        </w:tc>
        <w:tc>
          <w:tcPr>
            <w:tcW w:w="828" w:type="dxa"/>
            <w:vAlign w:val="center"/>
          </w:tcPr>
          <w:p w14:paraId="77CBF0FA" w14:textId="208C71B8" w:rsidR="00865519" w:rsidRPr="00A25741" w:rsidRDefault="00A25741" w:rsidP="00865519">
            <w:pPr>
              <w:jc w:val="center"/>
              <w:rPr>
                <w:color w:val="000000"/>
                <w:sz w:val="22"/>
                <w:szCs w:val="22"/>
                <w:lang w:eastAsia="en-GB"/>
              </w:rPr>
            </w:pPr>
            <w:r w:rsidRPr="00A25741">
              <w:rPr>
                <w:color w:val="000000"/>
                <w:sz w:val="22"/>
                <w:szCs w:val="22"/>
              </w:rPr>
              <w:t>16357</w:t>
            </w:r>
          </w:p>
        </w:tc>
      </w:tr>
      <w:tr w:rsidR="00865519" w:rsidRPr="002822D7" w14:paraId="261EE085" w14:textId="7A54BB09" w:rsidTr="00FE50BC">
        <w:trPr>
          <w:trHeight w:val="300"/>
        </w:trPr>
        <w:tc>
          <w:tcPr>
            <w:tcW w:w="1129" w:type="dxa"/>
            <w:shd w:val="clear" w:color="auto" w:fill="auto"/>
            <w:noWrap/>
            <w:vAlign w:val="center"/>
            <w:hideMark/>
          </w:tcPr>
          <w:p w14:paraId="6C5A5D72" w14:textId="34601410" w:rsidR="00865519" w:rsidRPr="002822D7" w:rsidRDefault="00865519" w:rsidP="005C7DB3">
            <w:pPr>
              <w:rPr>
                <w:color w:val="000000"/>
                <w:sz w:val="22"/>
                <w:szCs w:val="22"/>
                <w:lang w:eastAsia="en-GB"/>
              </w:rPr>
            </w:pPr>
            <w:r w:rsidRPr="002822D7">
              <w:rPr>
                <w:color w:val="000000"/>
                <w:sz w:val="22"/>
                <w:szCs w:val="22"/>
                <w:lang w:eastAsia="en-GB"/>
              </w:rPr>
              <w:t xml:space="preserve">16 to </w:t>
            </w:r>
            <w:r>
              <w:rPr>
                <w:color w:val="000000"/>
                <w:sz w:val="22"/>
                <w:szCs w:val="22"/>
                <w:lang w:eastAsia="en-GB"/>
              </w:rPr>
              <w:t>19</w:t>
            </w:r>
          </w:p>
        </w:tc>
        <w:tc>
          <w:tcPr>
            <w:tcW w:w="951" w:type="dxa"/>
            <w:shd w:val="clear" w:color="auto" w:fill="auto"/>
            <w:noWrap/>
            <w:vAlign w:val="center"/>
          </w:tcPr>
          <w:p w14:paraId="61BFC357" w14:textId="59B9C0B6" w:rsidR="00865519" w:rsidRPr="001C398D" w:rsidRDefault="002D4D3A" w:rsidP="005C7DB3">
            <w:pPr>
              <w:jc w:val="center"/>
              <w:rPr>
                <w:color w:val="000000"/>
                <w:sz w:val="22"/>
                <w:szCs w:val="22"/>
                <w:lang w:eastAsia="en-GB"/>
              </w:rPr>
            </w:pPr>
            <w:r w:rsidRPr="001C398D">
              <w:rPr>
                <w:color w:val="000000"/>
                <w:sz w:val="22"/>
                <w:szCs w:val="22"/>
              </w:rPr>
              <w:t>12264</w:t>
            </w:r>
          </w:p>
        </w:tc>
        <w:tc>
          <w:tcPr>
            <w:tcW w:w="828" w:type="dxa"/>
            <w:shd w:val="clear" w:color="auto" w:fill="auto"/>
            <w:vAlign w:val="center"/>
          </w:tcPr>
          <w:p w14:paraId="14B5D439" w14:textId="3E48BF47" w:rsidR="00865519" w:rsidRPr="001C398D" w:rsidRDefault="002D4D3A" w:rsidP="005C7DB3">
            <w:pPr>
              <w:jc w:val="center"/>
              <w:rPr>
                <w:color w:val="000000"/>
                <w:sz w:val="22"/>
                <w:szCs w:val="22"/>
                <w:lang w:eastAsia="en-GB"/>
              </w:rPr>
            </w:pPr>
            <w:r w:rsidRPr="001C398D">
              <w:rPr>
                <w:color w:val="000000"/>
                <w:sz w:val="22"/>
                <w:szCs w:val="22"/>
              </w:rPr>
              <w:t>12190</w:t>
            </w:r>
          </w:p>
        </w:tc>
        <w:tc>
          <w:tcPr>
            <w:tcW w:w="828" w:type="dxa"/>
            <w:shd w:val="clear" w:color="auto" w:fill="auto"/>
            <w:noWrap/>
            <w:vAlign w:val="center"/>
          </w:tcPr>
          <w:p w14:paraId="1E9B4C9A" w14:textId="52E0DE62" w:rsidR="00865519" w:rsidRPr="001C398D" w:rsidRDefault="002D4D3A" w:rsidP="005C7DB3">
            <w:pPr>
              <w:jc w:val="center"/>
              <w:rPr>
                <w:color w:val="000000"/>
                <w:sz w:val="22"/>
                <w:szCs w:val="22"/>
                <w:lang w:eastAsia="en-GB"/>
              </w:rPr>
            </w:pPr>
            <w:r w:rsidRPr="001C398D">
              <w:rPr>
                <w:color w:val="000000"/>
                <w:sz w:val="22"/>
                <w:szCs w:val="22"/>
              </w:rPr>
              <w:t>11826</w:t>
            </w:r>
          </w:p>
        </w:tc>
        <w:tc>
          <w:tcPr>
            <w:tcW w:w="828" w:type="dxa"/>
            <w:shd w:val="clear" w:color="auto" w:fill="auto"/>
            <w:noWrap/>
            <w:vAlign w:val="center"/>
          </w:tcPr>
          <w:p w14:paraId="46D664C5" w14:textId="65B9E224" w:rsidR="00865519" w:rsidRPr="001C398D" w:rsidRDefault="002D4D3A" w:rsidP="005C7DB3">
            <w:pPr>
              <w:jc w:val="center"/>
              <w:rPr>
                <w:color w:val="000000"/>
                <w:sz w:val="22"/>
                <w:szCs w:val="22"/>
                <w:lang w:eastAsia="en-GB"/>
              </w:rPr>
            </w:pPr>
            <w:r w:rsidRPr="001C398D">
              <w:rPr>
                <w:color w:val="000000"/>
                <w:sz w:val="22"/>
                <w:szCs w:val="22"/>
              </w:rPr>
              <w:t>11477</w:t>
            </w:r>
          </w:p>
        </w:tc>
        <w:tc>
          <w:tcPr>
            <w:tcW w:w="828" w:type="dxa"/>
            <w:shd w:val="clear" w:color="auto" w:fill="auto"/>
            <w:noWrap/>
            <w:vAlign w:val="center"/>
          </w:tcPr>
          <w:p w14:paraId="29E4B594" w14:textId="6EFF83AA" w:rsidR="00865519" w:rsidRPr="001C398D" w:rsidRDefault="002D4D3A" w:rsidP="005C7DB3">
            <w:pPr>
              <w:jc w:val="center"/>
              <w:rPr>
                <w:color w:val="000000"/>
                <w:sz w:val="22"/>
                <w:szCs w:val="22"/>
                <w:lang w:eastAsia="en-GB"/>
              </w:rPr>
            </w:pPr>
            <w:r w:rsidRPr="001C398D">
              <w:rPr>
                <w:color w:val="000000"/>
                <w:sz w:val="22"/>
                <w:szCs w:val="22"/>
              </w:rPr>
              <w:t>11336</w:t>
            </w:r>
          </w:p>
        </w:tc>
        <w:tc>
          <w:tcPr>
            <w:tcW w:w="828" w:type="dxa"/>
            <w:shd w:val="clear" w:color="auto" w:fill="auto"/>
            <w:noWrap/>
            <w:vAlign w:val="center"/>
          </w:tcPr>
          <w:p w14:paraId="4616CAB4" w14:textId="33C7AD70" w:rsidR="00865519" w:rsidRPr="001C398D" w:rsidRDefault="002D4D3A" w:rsidP="005C7DB3">
            <w:pPr>
              <w:jc w:val="center"/>
              <w:rPr>
                <w:color w:val="000000"/>
                <w:sz w:val="22"/>
                <w:szCs w:val="22"/>
                <w:lang w:eastAsia="en-GB"/>
              </w:rPr>
            </w:pPr>
            <w:r w:rsidRPr="001C398D">
              <w:rPr>
                <w:color w:val="000000"/>
                <w:sz w:val="22"/>
                <w:szCs w:val="22"/>
              </w:rPr>
              <w:t>11517</w:t>
            </w:r>
          </w:p>
        </w:tc>
        <w:tc>
          <w:tcPr>
            <w:tcW w:w="828" w:type="dxa"/>
            <w:shd w:val="clear" w:color="auto" w:fill="auto"/>
            <w:noWrap/>
            <w:vAlign w:val="center"/>
          </w:tcPr>
          <w:p w14:paraId="736B305B" w14:textId="24F63A1F" w:rsidR="00865519" w:rsidRPr="001C398D" w:rsidRDefault="002D4D3A" w:rsidP="005C7DB3">
            <w:pPr>
              <w:jc w:val="center"/>
              <w:rPr>
                <w:color w:val="000000"/>
                <w:sz w:val="22"/>
                <w:szCs w:val="22"/>
                <w:lang w:eastAsia="en-GB"/>
              </w:rPr>
            </w:pPr>
            <w:r w:rsidRPr="001C398D">
              <w:rPr>
                <w:color w:val="000000"/>
                <w:sz w:val="22"/>
                <w:szCs w:val="22"/>
              </w:rPr>
              <w:t>11116</w:t>
            </w:r>
          </w:p>
        </w:tc>
        <w:tc>
          <w:tcPr>
            <w:tcW w:w="828" w:type="dxa"/>
            <w:shd w:val="clear" w:color="auto" w:fill="auto"/>
            <w:noWrap/>
            <w:vAlign w:val="center"/>
          </w:tcPr>
          <w:p w14:paraId="722B1282" w14:textId="49D66FE2" w:rsidR="00865519" w:rsidRPr="001C398D" w:rsidRDefault="002D4D3A" w:rsidP="005C7DB3">
            <w:pPr>
              <w:jc w:val="center"/>
              <w:rPr>
                <w:color w:val="000000"/>
                <w:sz w:val="22"/>
                <w:szCs w:val="22"/>
                <w:lang w:eastAsia="en-GB"/>
              </w:rPr>
            </w:pPr>
            <w:r w:rsidRPr="001C398D">
              <w:rPr>
                <w:color w:val="000000"/>
                <w:sz w:val="22"/>
                <w:szCs w:val="22"/>
              </w:rPr>
              <w:t>10941</w:t>
            </w:r>
          </w:p>
        </w:tc>
        <w:tc>
          <w:tcPr>
            <w:tcW w:w="828" w:type="dxa"/>
            <w:shd w:val="clear" w:color="auto" w:fill="auto"/>
            <w:noWrap/>
            <w:vAlign w:val="center"/>
          </w:tcPr>
          <w:p w14:paraId="79720460" w14:textId="7D7A9CD5" w:rsidR="00865519" w:rsidRPr="001C398D" w:rsidRDefault="002D4D3A" w:rsidP="005C7DB3">
            <w:pPr>
              <w:jc w:val="center"/>
              <w:rPr>
                <w:color w:val="000000"/>
                <w:sz w:val="22"/>
                <w:szCs w:val="22"/>
                <w:lang w:eastAsia="en-GB"/>
              </w:rPr>
            </w:pPr>
            <w:r w:rsidRPr="001C398D">
              <w:rPr>
                <w:color w:val="000000"/>
                <w:sz w:val="22"/>
                <w:szCs w:val="22"/>
              </w:rPr>
              <w:t>10902</w:t>
            </w:r>
          </w:p>
        </w:tc>
        <w:tc>
          <w:tcPr>
            <w:tcW w:w="828" w:type="dxa"/>
            <w:vAlign w:val="center"/>
          </w:tcPr>
          <w:p w14:paraId="5905BFAC" w14:textId="70CE7162" w:rsidR="00865519" w:rsidRPr="001C398D" w:rsidRDefault="002D4D3A" w:rsidP="005C7DB3">
            <w:pPr>
              <w:jc w:val="center"/>
              <w:rPr>
                <w:color w:val="000000"/>
                <w:sz w:val="22"/>
                <w:szCs w:val="22"/>
                <w:lang w:eastAsia="en-GB"/>
              </w:rPr>
            </w:pPr>
            <w:r w:rsidRPr="001C398D">
              <w:rPr>
                <w:color w:val="000000"/>
                <w:sz w:val="22"/>
                <w:szCs w:val="22"/>
              </w:rPr>
              <w:t>11626</w:t>
            </w:r>
          </w:p>
        </w:tc>
        <w:tc>
          <w:tcPr>
            <w:tcW w:w="828" w:type="dxa"/>
            <w:vAlign w:val="center"/>
          </w:tcPr>
          <w:p w14:paraId="1F983C30" w14:textId="248CD073" w:rsidR="00865519" w:rsidRPr="001C398D" w:rsidRDefault="002D4D3A" w:rsidP="00865519">
            <w:pPr>
              <w:jc w:val="center"/>
              <w:rPr>
                <w:color w:val="000000"/>
                <w:sz w:val="22"/>
                <w:szCs w:val="22"/>
                <w:lang w:eastAsia="en-GB"/>
              </w:rPr>
            </w:pPr>
            <w:r w:rsidRPr="001C398D">
              <w:rPr>
                <w:color w:val="000000"/>
                <w:sz w:val="22"/>
                <w:szCs w:val="22"/>
              </w:rPr>
              <w:t>12051</w:t>
            </w:r>
          </w:p>
        </w:tc>
      </w:tr>
      <w:tr w:rsidR="00865519" w:rsidRPr="002822D7" w14:paraId="6BC77642" w14:textId="25E3369A" w:rsidTr="00FE50BC">
        <w:trPr>
          <w:trHeight w:val="300"/>
        </w:trPr>
        <w:tc>
          <w:tcPr>
            <w:tcW w:w="1129" w:type="dxa"/>
            <w:shd w:val="clear" w:color="auto" w:fill="auto"/>
            <w:noWrap/>
            <w:vAlign w:val="center"/>
          </w:tcPr>
          <w:p w14:paraId="0E685E97" w14:textId="4F393D52" w:rsidR="00865519" w:rsidRPr="002822D7" w:rsidRDefault="00865519" w:rsidP="005C7DB3">
            <w:pPr>
              <w:rPr>
                <w:color w:val="000000"/>
                <w:sz w:val="22"/>
                <w:szCs w:val="22"/>
                <w:lang w:eastAsia="en-GB"/>
              </w:rPr>
            </w:pPr>
            <w:r>
              <w:rPr>
                <w:color w:val="000000"/>
                <w:sz w:val="22"/>
                <w:szCs w:val="22"/>
                <w:lang w:eastAsia="en-GB"/>
              </w:rPr>
              <w:t>20 to 25</w:t>
            </w:r>
          </w:p>
        </w:tc>
        <w:tc>
          <w:tcPr>
            <w:tcW w:w="951" w:type="dxa"/>
            <w:shd w:val="clear" w:color="auto" w:fill="auto"/>
            <w:noWrap/>
            <w:vAlign w:val="center"/>
          </w:tcPr>
          <w:p w14:paraId="55018D5D" w14:textId="5630B5FA" w:rsidR="00865519" w:rsidRPr="001C398D" w:rsidRDefault="001C398D" w:rsidP="005C7DB3">
            <w:pPr>
              <w:jc w:val="center"/>
              <w:rPr>
                <w:color w:val="000000"/>
                <w:sz w:val="22"/>
                <w:szCs w:val="22"/>
                <w:lang w:eastAsia="en-GB"/>
              </w:rPr>
            </w:pPr>
            <w:r w:rsidRPr="001C398D">
              <w:rPr>
                <w:color w:val="000000"/>
                <w:sz w:val="22"/>
                <w:szCs w:val="22"/>
              </w:rPr>
              <w:t>19641</w:t>
            </w:r>
          </w:p>
        </w:tc>
        <w:tc>
          <w:tcPr>
            <w:tcW w:w="828" w:type="dxa"/>
            <w:shd w:val="clear" w:color="auto" w:fill="auto"/>
            <w:vAlign w:val="center"/>
          </w:tcPr>
          <w:p w14:paraId="3798FFB4" w14:textId="230584B2" w:rsidR="00865519" w:rsidRPr="001C398D" w:rsidRDefault="001C398D" w:rsidP="005C7DB3">
            <w:pPr>
              <w:jc w:val="center"/>
              <w:rPr>
                <w:color w:val="000000"/>
                <w:sz w:val="22"/>
                <w:szCs w:val="22"/>
                <w:lang w:eastAsia="en-GB"/>
              </w:rPr>
            </w:pPr>
            <w:r w:rsidRPr="001C398D">
              <w:rPr>
                <w:color w:val="000000"/>
                <w:sz w:val="22"/>
                <w:szCs w:val="22"/>
              </w:rPr>
              <w:t>19470</w:t>
            </w:r>
          </w:p>
        </w:tc>
        <w:tc>
          <w:tcPr>
            <w:tcW w:w="828" w:type="dxa"/>
            <w:shd w:val="clear" w:color="auto" w:fill="auto"/>
            <w:noWrap/>
            <w:vAlign w:val="center"/>
          </w:tcPr>
          <w:p w14:paraId="03966AD8" w14:textId="20BB0AC9" w:rsidR="00865519" w:rsidRPr="001C398D" w:rsidRDefault="001C398D" w:rsidP="005C7DB3">
            <w:pPr>
              <w:jc w:val="center"/>
              <w:rPr>
                <w:color w:val="000000"/>
                <w:sz w:val="22"/>
                <w:szCs w:val="22"/>
                <w:lang w:eastAsia="en-GB"/>
              </w:rPr>
            </w:pPr>
            <w:r w:rsidRPr="001C398D">
              <w:rPr>
                <w:color w:val="000000"/>
                <w:sz w:val="22"/>
                <w:szCs w:val="22"/>
              </w:rPr>
              <w:t>18969</w:t>
            </w:r>
          </w:p>
        </w:tc>
        <w:tc>
          <w:tcPr>
            <w:tcW w:w="828" w:type="dxa"/>
            <w:shd w:val="clear" w:color="auto" w:fill="auto"/>
            <w:noWrap/>
            <w:vAlign w:val="center"/>
          </w:tcPr>
          <w:p w14:paraId="3C8D9AC3" w14:textId="3C44E863" w:rsidR="00865519" w:rsidRPr="001C398D" w:rsidRDefault="001C398D" w:rsidP="005C7DB3">
            <w:pPr>
              <w:jc w:val="center"/>
              <w:rPr>
                <w:color w:val="000000"/>
                <w:sz w:val="22"/>
                <w:szCs w:val="22"/>
                <w:lang w:eastAsia="en-GB"/>
              </w:rPr>
            </w:pPr>
            <w:r w:rsidRPr="001C398D">
              <w:rPr>
                <w:color w:val="000000"/>
                <w:sz w:val="22"/>
                <w:szCs w:val="22"/>
              </w:rPr>
              <w:t>18686</w:t>
            </w:r>
          </w:p>
        </w:tc>
        <w:tc>
          <w:tcPr>
            <w:tcW w:w="828" w:type="dxa"/>
            <w:shd w:val="clear" w:color="auto" w:fill="auto"/>
            <w:noWrap/>
            <w:vAlign w:val="center"/>
          </w:tcPr>
          <w:p w14:paraId="1F7710D2" w14:textId="76CDCC6E" w:rsidR="00865519" w:rsidRPr="001C398D" w:rsidRDefault="001C398D" w:rsidP="005C7DB3">
            <w:pPr>
              <w:jc w:val="center"/>
              <w:rPr>
                <w:color w:val="000000"/>
                <w:sz w:val="22"/>
                <w:szCs w:val="22"/>
                <w:lang w:eastAsia="en-GB"/>
              </w:rPr>
            </w:pPr>
            <w:r w:rsidRPr="001C398D">
              <w:rPr>
                <w:color w:val="000000"/>
                <w:sz w:val="22"/>
                <w:szCs w:val="22"/>
              </w:rPr>
              <w:t>18656</w:t>
            </w:r>
          </w:p>
        </w:tc>
        <w:tc>
          <w:tcPr>
            <w:tcW w:w="828" w:type="dxa"/>
            <w:shd w:val="clear" w:color="auto" w:fill="auto"/>
            <w:noWrap/>
            <w:vAlign w:val="center"/>
          </w:tcPr>
          <w:p w14:paraId="35CD03EF" w14:textId="2D324B5C" w:rsidR="00865519" w:rsidRPr="001C398D" w:rsidRDefault="001C398D" w:rsidP="005C7DB3">
            <w:pPr>
              <w:jc w:val="center"/>
              <w:rPr>
                <w:color w:val="000000"/>
                <w:sz w:val="22"/>
                <w:szCs w:val="22"/>
                <w:lang w:eastAsia="en-GB"/>
              </w:rPr>
            </w:pPr>
            <w:r w:rsidRPr="001C398D">
              <w:rPr>
                <w:color w:val="000000"/>
                <w:sz w:val="22"/>
                <w:szCs w:val="22"/>
              </w:rPr>
              <w:t>18629</w:t>
            </w:r>
          </w:p>
        </w:tc>
        <w:tc>
          <w:tcPr>
            <w:tcW w:w="828" w:type="dxa"/>
            <w:shd w:val="clear" w:color="auto" w:fill="auto"/>
            <w:noWrap/>
            <w:vAlign w:val="center"/>
          </w:tcPr>
          <w:p w14:paraId="151CB1C8" w14:textId="04EDF394" w:rsidR="00865519" w:rsidRPr="001C398D" w:rsidRDefault="001C398D" w:rsidP="005C7DB3">
            <w:pPr>
              <w:jc w:val="center"/>
              <w:rPr>
                <w:color w:val="000000"/>
                <w:sz w:val="22"/>
                <w:szCs w:val="22"/>
                <w:lang w:eastAsia="en-GB"/>
              </w:rPr>
            </w:pPr>
            <w:r w:rsidRPr="001C398D">
              <w:rPr>
                <w:color w:val="000000"/>
                <w:sz w:val="22"/>
                <w:szCs w:val="22"/>
              </w:rPr>
              <w:t>18501</w:t>
            </w:r>
          </w:p>
        </w:tc>
        <w:tc>
          <w:tcPr>
            <w:tcW w:w="828" w:type="dxa"/>
            <w:shd w:val="clear" w:color="auto" w:fill="auto"/>
            <w:noWrap/>
            <w:vAlign w:val="center"/>
          </w:tcPr>
          <w:p w14:paraId="08DD03DA" w14:textId="6D899417" w:rsidR="00865519" w:rsidRPr="001C398D" w:rsidRDefault="001C398D" w:rsidP="005C7DB3">
            <w:pPr>
              <w:jc w:val="center"/>
              <w:rPr>
                <w:color w:val="000000"/>
                <w:sz w:val="22"/>
                <w:szCs w:val="22"/>
                <w:lang w:eastAsia="en-GB"/>
              </w:rPr>
            </w:pPr>
            <w:r w:rsidRPr="001C398D">
              <w:rPr>
                <w:color w:val="000000"/>
                <w:sz w:val="22"/>
                <w:szCs w:val="22"/>
              </w:rPr>
              <w:t>18689</w:t>
            </w:r>
          </w:p>
        </w:tc>
        <w:tc>
          <w:tcPr>
            <w:tcW w:w="828" w:type="dxa"/>
            <w:shd w:val="clear" w:color="auto" w:fill="auto"/>
            <w:noWrap/>
            <w:vAlign w:val="center"/>
          </w:tcPr>
          <w:p w14:paraId="21E96C88" w14:textId="135241F5" w:rsidR="00865519" w:rsidRPr="001C398D" w:rsidRDefault="001C398D" w:rsidP="005C7DB3">
            <w:pPr>
              <w:jc w:val="center"/>
              <w:rPr>
                <w:color w:val="000000"/>
                <w:sz w:val="22"/>
                <w:szCs w:val="22"/>
                <w:lang w:eastAsia="en-GB"/>
              </w:rPr>
            </w:pPr>
            <w:r w:rsidRPr="001C398D">
              <w:rPr>
                <w:color w:val="000000"/>
                <w:sz w:val="22"/>
                <w:szCs w:val="22"/>
              </w:rPr>
              <w:t>18642</w:t>
            </w:r>
          </w:p>
        </w:tc>
        <w:tc>
          <w:tcPr>
            <w:tcW w:w="828" w:type="dxa"/>
            <w:vAlign w:val="center"/>
          </w:tcPr>
          <w:p w14:paraId="12F568F0" w14:textId="0D03BBC0" w:rsidR="00865519" w:rsidRPr="001C398D" w:rsidRDefault="001C398D" w:rsidP="005C7DB3">
            <w:pPr>
              <w:jc w:val="center"/>
              <w:rPr>
                <w:color w:val="000000"/>
                <w:sz w:val="22"/>
                <w:szCs w:val="22"/>
                <w:lang w:eastAsia="en-GB"/>
              </w:rPr>
            </w:pPr>
            <w:r w:rsidRPr="001C398D">
              <w:rPr>
                <w:color w:val="000000"/>
                <w:sz w:val="22"/>
                <w:szCs w:val="22"/>
              </w:rPr>
              <w:t>18893</w:t>
            </w:r>
          </w:p>
        </w:tc>
        <w:tc>
          <w:tcPr>
            <w:tcW w:w="828" w:type="dxa"/>
            <w:vAlign w:val="center"/>
          </w:tcPr>
          <w:p w14:paraId="18B2802C" w14:textId="353CF09C" w:rsidR="00865519" w:rsidRPr="001C398D" w:rsidRDefault="001C398D" w:rsidP="00865519">
            <w:pPr>
              <w:jc w:val="center"/>
              <w:rPr>
                <w:color w:val="000000"/>
                <w:sz w:val="22"/>
                <w:szCs w:val="22"/>
                <w:lang w:eastAsia="en-GB"/>
              </w:rPr>
            </w:pPr>
            <w:r w:rsidRPr="001C398D">
              <w:rPr>
                <w:color w:val="000000"/>
                <w:sz w:val="22"/>
                <w:szCs w:val="22"/>
              </w:rPr>
              <w:t>18585</w:t>
            </w:r>
          </w:p>
        </w:tc>
      </w:tr>
    </w:tbl>
    <w:p w14:paraId="5DDBC08D" w14:textId="77777777" w:rsidR="00FE50BC" w:rsidRDefault="00FE50BC" w:rsidP="00FE50BC">
      <w:pPr>
        <w:rPr>
          <w:sz w:val="20"/>
          <w:szCs w:val="20"/>
        </w:rPr>
      </w:pPr>
      <w:r w:rsidRPr="002822D7">
        <w:rPr>
          <w:sz w:val="20"/>
          <w:szCs w:val="20"/>
        </w:rPr>
        <w:t>Source: GLA’s Harr</w:t>
      </w:r>
      <w:r>
        <w:rPr>
          <w:sz w:val="20"/>
          <w:szCs w:val="20"/>
        </w:rPr>
        <w:t>ow 10 year constrained</w:t>
      </w:r>
    </w:p>
    <w:p w14:paraId="736620EF" w14:textId="51218C77" w:rsidR="00362818" w:rsidRPr="002822D7" w:rsidRDefault="00362818"/>
    <w:p w14:paraId="439BC9CF" w14:textId="7802512F" w:rsidR="00A17FFD" w:rsidRDefault="00267D7B" w:rsidP="004B737E">
      <w:pPr>
        <w:pStyle w:val="Header"/>
      </w:pPr>
      <w:r>
        <w:t xml:space="preserve">The </w:t>
      </w:r>
      <w:r w:rsidR="001F52F2">
        <w:t xml:space="preserve">bullet points and the </w:t>
      </w:r>
      <w:r>
        <w:t>chart below show the population projections by age group from 2022 to 203</w:t>
      </w:r>
      <w:r w:rsidR="00D26D53">
        <w:t>6</w:t>
      </w:r>
      <w:r w:rsidR="001F52F2">
        <w:t>.</w:t>
      </w:r>
    </w:p>
    <w:p w14:paraId="0EE3D309" w14:textId="77777777" w:rsidR="001F52F2" w:rsidRDefault="001F52F2" w:rsidP="004B737E">
      <w:pPr>
        <w:pStyle w:val="Header"/>
      </w:pPr>
    </w:p>
    <w:p w14:paraId="386613B7" w14:textId="52284364" w:rsidR="00754992" w:rsidRDefault="00A17FFD" w:rsidP="00A17FFD">
      <w:pPr>
        <w:pStyle w:val="Header"/>
        <w:numPr>
          <w:ilvl w:val="0"/>
          <w:numId w:val="9"/>
        </w:numPr>
      </w:pPr>
      <w:r>
        <w:t xml:space="preserve">The 0 to 4 age group are projected to </w:t>
      </w:r>
      <w:r w:rsidR="00982226">
        <w:t xml:space="preserve">mostly continue </w:t>
      </w:r>
      <w:r>
        <w:t>increas</w:t>
      </w:r>
      <w:r w:rsidR="00982226">
        <w:t xml:space="preserve">ing, </w:t>
      </w:r>
      <w:r>
        <w:t xml:space="preserve">from 15,493 </w:t>
      </w:r>
      <w:r w:rsidR="00982226">
        <w:t xml:space="preserve">in 2022 </w:t>
      </w:r>
      <w:r>
        <w:t>to 16,</w:t>
      </w:r>
      <w:r w:rsidR="00D26D53">
        <w:t>821</w:t>
      </w:r>
      <w:r>
        <w:t xml:space="preserve"> by 203</w:t>
      </w:r>
      <w:r w:rsidR="00D26D53">
        <w:t>6</w:t>
      </w:r>
      <w:r>
        <w:t>.</w:t>
      </w:r>
    </w:p>
    <w:p w14:paraId="51F32E0B" w14:textId="77F1BE4A" w:rsidR="00A17FFD" w:rsidRDefault="00A17FFD" w:rsidP="00A17FFD">
      <w:pPr>
        <w:pStyle w:val="Header"/>
        <w:numPr>
          <w:ilvl w:val="0"/>
          <w:numId w:val="9"/>
        </w:numPr>
      </w:pPr>
      <w:r>
        <w:t xml:space="preserve">The 5 to 10 age group are projected to drop from 19,407 in 2022 to 17,577 in 2029 </w:t>
      </w:r>
      <w:r w:rsidR="005A5765">
        <w:t>after</w:t>
      </w:r>
      <w:r>
        <w:t xml:space="preserve"> which the</w:t>
      </w:r>
      <w:r w:rsidR="00982226">
        <w:t xml:space="preserve"> projections</w:t>
      </w:r>
      <w:r>
        <w:t xml:space="preserve"> start increasing</w:t>
      </w:r>
      <w:r w:rsidR="005A5765">
        <w:t xml:space="preserve"> and reach </w:t>
      </w:r>
      <w:r>
        <w:t>18,</w:t>
      </w:r>
      <w:r w:rsidR="00D26D53">
        <w:t>354</w:t>
      </w:r>
      <w:r>
        <w:t xml:space="preserve"> by 203</w:t>
      </w:r>
      <w:r w:rsidR="00D26D53">
        <w:t>6</w:t>
      </w:r>
      <w:r>
        <w:t>.</w:t>
      </w:r>
    </w:p>
    <w:p w14:paraId="2FBB6C90" w14:textId="3ABB0F09" w:rsidR="00A17FFD" w:rsidRDefault="00F6176A" w:rsidP="00A17FFD">
      <w:pPr>
        <w:pStyle w:val="Header"/>
        <w:numPr>
          <w:ilvl w:val="0"/>
          <w:numId w:val="9"/>
        </w:numPr>
      </w:pPr>
      <w:r>
        <w:t>The 11 to 15 age group is projected to continue decreasing from 16,762 in 2022 to 14,7</w:t>
      </w:r>
      <w:r w:rsidR="00D26D53">
        <w:t>75</w:t>
      </w:r>
      <w:r>
        <w:t xml:space="preserve"> in 203</w:t>
      </w:r>
      <w:r w:rsidR="00D26D53">
        <w:t>6</w:t>
      </w:r>
      <w:r>
        <w:t>.</w:t>
      </w:r>
    </w:p>
    <w:p w14:paraId="54FF5612" w14:textId="09929B7F" w:rsidR="00F6176A" w:rsidRDefault="00F6176A" w:rsidP="00A17FFD">
      <w:pPr>
        <w:pStyle w:val="Header"/>
        <w:numPr>
          <w:ilvl w:val="0"/>
          <w:numId w:val="9"/>
        </w:numPr>
      </w:pPr>
      <w:r>
        <w:lastRenderedPageBreak/>
        <w:t>The 16 to 19 age group are projected to increase from 12,629 in 2022 to 13,103 in 2028, after which point the</w:t>
      </w:r>
      <w:r w:rsidR="001C0BCB">
        <w:t xml:space="preserve"> projections start </w:t>
      </w:r>
      <w:r>
        <w:t>decreasing</w:t>
      </w:r>
      <w:r w:rsidR="001C0BCB">
        <w:t>, dropping</w:t>
      </w:r>
      <w:r>
        <w:t xml:space="preserve"> to 1</w:t>
      </w:r>
      <w:r w:rsidR="00D26D53">
        <w:t>1</w:t>
      </w:r>
      <w:r>
        <w:t>,</w:t>
      </w:r>
      <w:r w:rsidR="00D26D53">
        <w:t>801</w:t>
      </w:r>
      <w:r>
        <w:t xml:space="preserve"> by 203</w:t>
      </w:r>
      <w:r w:rsidR="00D26D53">
        <w:t>6</w:t>
      </w:r>
      <w:r>
        <w:t>.</w:t>
      </w:r>
    </w:p>
    <w:p w14:paraId="7F73965A" w14:textId="741B2688" w:rsidR="00DE6274" w:rsidRDefault="00DE6274" w:rsidP="00A17FFD">
      <w:pPr>
        <w:pStyle w:val="Header"/>
        <w:numPr>
          <w:ilvl w:val="0"/>
          <w:numId w:val="9"/>
        </w:numPr>
      </w:pPr>
      <w:r>
        <w:t xml:space="preserve">The 20 to 25 age group is projected to continue increasing from 19,075 in 2022 to 20,389 in 2020, after which point the projections steadily drop to </w:t>
      </w:r>
      <w:r w:rsidR="00D26D53">
        <w:t>19,964</w:t>
      </w:r>
      <w:r>
        <w:t xml:space="preserve"> in 203</w:t>
      </w:r>
      <w:r w:rsidR="00D26D53">
        <w:t>6</w:t>
      </w:r>
      <w:r>
        <w:t>.</w:t>
      </w:r>
    </w:p>
    <w:p w14:paraId="50A22185" w14:textId="77777777" w:rsidR="005A5765" w:rsidRDefault="005A5765" w:rsidP="005A5765">
      <w:pPr>
        <w:pStyle w:val="Header"/>
        <w:ind w:left="720"/>
      </w:pPr>
    </w:p>
    <w:p w14:paraId="1B4B4534" w14:textId="0C6CA39E" w:rsidR="004B737E" w:rsidRPr="002822D7" w:rsidRDefault="004B737E" w:rsidP="004B737E">
      <w:pPr>
        <w:pStyle w:val="Header"/>
      </w:pPr>
      <w:r w:rsidRPr="002822D7">
        <w:t xml:space="preserve">Chart 1: Harrow’s 0 to 25 year old population </w:t>
      </w:r>
      <w:r w:rsidR="0028331E">
        <w:t xml:space="preserve">estimates &amp; </w:t>
      </w:r>
      <w:r w:rsidR="00D834C6">
        <w:t xml:space="preserve">projections </w:t>
      </w:r>
      <w:r w:rsidRPr="002822D7">
        <w:t>20</w:t>
      </w:r>
      <w:r w:rsidR="0028331E">
        <w:t>11</w:t>
      </w:r>
      <w:r w:rsidRPr="002822D7">
        <w:t xml:space="preserve"> to 20</w:t>
      </w:r>
      <w:r w:rsidR="00D834C6">
        <w:t>3</w:t>
      </w:r>
      <w:r w:rsidR="00D26D53">
        <w:t>6</w:t>
      </w:r>
    </w:p>
    <w:p w14:paraId="31AAA625" w14:textId="61E42F70" w:rsidR="004B737E" w:rsidRPr="002822D7" w:rsidRDefault="0028331E" w:rsidP="004B737E">
      <w:pPr>
        <w:pStyle w:val="Header"/>
      </w:pPr>
      <w:r>
        <w:rPr>
          <w:noProof/>
        </w:rPr>
        <w:drawing>
          <wp:inline distT="0" distB="0" distL="0" distR="0" wp14:anchorId="606DAED8" wp14:editId="7A9C8696">
            <wp:extent cx="6492875" cy="3152140"/>
            <wp:effectExtent l="0" t="0" r="317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92875" cy="3152140"/>
                    </a:xfrm>
                    <a:prstGeom prst="rect">
                      <a:avLst/>
                    </a:prstGeom>
                    <a:noFill/>
                  </pic:spPr>
                </pic:pic>
              </a:graphicData>
            </a:graphic>
          </wp:inline>
        </w:drawing>
      </w:r>
    </w:p>
    <w:p w14:paraId="33152AE8" w14:textId="77777777" w:rsidR="002B5A82" w:rsidRDefault="002B5A82" w:rsidP="002B5A82">
      <w:pPr>
        <w:rPr>
          <w:sz w:val="20"/>
          <w:szCs w:val="20"/>
        </w:rPr>
      </w:pPr>
      <w:r w:rsidRPr="002822D7">
        <w:rPr>
          <w:sz w:val="20"/>
          <w:szCs w:val="20"/>
        </w:rPr>
        <w:t>Source: GLA’s Harr</w:t>
      </w:r>
      <w:r>
        <w:rPr>
          <w:sz w:val="20"/>
          <w:szCs w:val="20"/>
        </w:rPr>
        <w:t>ow 10 year constrained</w:t>
      </w:r>
    </w:p>
    <w:p w14:paraId="4C1B8ED9" w14:textId="77777777" w:rsidR="00AA639C" w:rsidRPr="002822D7" w:rsidRDefault="00AA639C" w:rsidP="00A16979">
      <w:pPr>
        <w:pStyle w:val="Header"/>
      </w:pPr>
    </w:p>
    <w:p w14:paraId="59B84C82" w14:textId="6F0D9D66" w:rsidR="00306ADE" w:rsidRPr="002822D7" w:rsidRDefault="00B06943" w:rsidP="00306ADE">
      <w:pPr>
        <w:pStyle w:val="Header"/>
      </w:pPr>
      <w:r w:rsidRPr="002822D7">
        <w:t>The chart below shows that t</w:t>
      </w:r>
      <w:r w:rsidR="00306ADE" w:rsidRPr="002822D7">
        <w:t xml:space="preserve">he number of </w:t>
      </w:r>
      <w:proofErr w:type="gramStart"/>
      <w:r w:rsidR="00306ADE" w:rsidRPr="002822D7">
        <w:t xml:space="preserve">0 to </w:t>
      </w:r>
      <w:r w:rsidR="006465A2">
        <w:t>4</w:t>
      </w:r>
      <w:r w:rsidR="00306ADE" w:rsidRPr="002822D7">
        <w:t xml:space="preserve"> year olds</w:t>
      </w:r>
      <w:proofErr w:type="gramEnd"/>
      <w:r w:rsidR="00306ADE" w:rsidRPr="002822D7">
        <w:t xml:space="preserve"> in Harrow </w:t>
      </w:r>
      <w:r w:rsidR="00D73C4E" w:rsidRPr="002822D7">
        <w:t>ha</w:t>
      </w:r>
      <w:r w:rsidR="00787D71">
        <w:t>ve sharply increased, plateaued and then dropped over</w:t>
      </w:r>
      <w:r w:rsidR="00D73C4E" w:rsidRPr="002822D7">
        <w:t xml:space="preserve"> the last decade, </w:t>
      </w:r>
      <w:r w:rsidR="00306ADE" w:rsidRPr="002822D7">
        <w:t>increas</w:t>
      </w:r>
      <w:r w:rsidR="00D73C4E" w:rsidRPr="002822D7">
        <w:t>ing</w:t>
      </w:r>
      <w:r w:rsidR="00306ADE" w:rsidRPr="002822D7">
        <w:t xml:space="preserve"> from </w:t>
      </w:r>
      <w:proofErr w:type="spellStart"/>
      <w:r w:rsidR="00306ADE" w:rsidRPr="002822D7">
        <w:t>from</w:t>
      </w:r>
      <w:proofErr w:type="spellEnd"/>
      <w:r w:rsidR="00306ADE" w:rsidRPr="002822D7">
        <w:t xml:space="preserve"> 1</w:t>
      </w:r>
      <w:r w:rsidR="00787D71">
        <w:t>5</w:t>
      </w:r>
      <w:r w:rsidR="00306ADE" w:rsidRPr="002822D7">
        <w:t>,</w:t>
      </w:r>
      <w:r w:rsidR="00787D71">
        <w:t>993</w:t>
      </w:r>
      <w:r w:rsidR="00306ADE" w:rsidRPr="002822D7">
        <w:t xml:space="preserve"> in 2011 to 1</w:t>
      </w:r>
      <w:r w:rsidR="00725435">
        <w:t>7</w:t>
      </w:r>
      <w:r w:rsidR="00306ADE" w:rsidRPr="002822D7">
        <w:t>,</w:t>
      </w:r>
      <w:r w:rsidR="00725435">
        <w:t>281</w:t>
      </w:r>
      <w:r w:rsidR="00306ADE" w:rsidRPr="002822D7">
        <w:t xml:space="preserve"> in 201</w:t>
      </w:r>
      <w:r w:rsidR="00725435">
        <w:t>4</w:t>
      </w:r>
      <w:r w:rsidR="00306ADE" w:rsidRPr="002822D7">
        <w:t xml:space="preserve"> and then f</w:t>
      </w:r>
      <w:r w:rsidR="00F1710D" w:rsidRPr="002822D7">
        <w:t xml:space="preserve">alling </w:t>
      </w:r>
      <w:r w:rsidR="00306ADE" w:rsidRPr="002822D7">
        <w:t xml:space="preserve">to </w:t>
      </w:r>
      <w:r w:rsidR="00725435">
        <w:t>15,493</w:t>
      </w:r>
      <w:r w:rsidR="00306ADE" w:rsidRPr="002822D7">
        <w:t xml:space="preserve"> in 20</w:t>
      </w:r>
      <w:r w:rsidR="00725435">
        <w:t>22</w:t>
      </w:r>
      <w:r w:rsidR="00306ADE" w:rsidRPr="002822D7">
        <w:t xml:space="preserve">.  </w:t>
      </w:r>
      <w:r w:rsidR="00243C0C" w:rsidRPr="002822D7">
        <w:t xml:space="preserve">The </w:t>
      </w:r>
      <w:r w:rsidR="00725435">
        <w:t xml:space="preserve">numbers are </w:t>
      </w:r>
      <w:r w:rsidR="00243C0C" w:rsidRPr="002822D7">
        <w:t xml:space="preserve">projected to </w:t>
      </w:r>
      <w:r w:rsidR="00725435">
        <w:t xml:space="preserve">stabilise until 2025, after which </w:t>
      </w:r>
      <w:proofErr w:type="gramStart"/>
      <w:r w:rsidR="00725435">
        <w:t>point</w:t>
      </w:r>
      <w:proofErr w:type="gramEnd"/>
      <w:r w:rsidR="00725435">
        <w:t xml:space="preserve"> they </w:t>
      </w:r>
      <w:r w:rsidR="002D7612" w:rsidRPr="002822D7">
        <w:t xml:space="preserve">are </w:t>
      </w:r>
      <w:r w:rsidR="00306ADE" w:rsidRPr="002822D7">
        <w:t xml:space="preserve">projected </w:t>
      </w:r>
      <w:r w:rsidR="002D7612" w:rsidRPr="002822D7">
        <w:t xml:space="preserve">to </w:t>
      </w:r>
      <w:r w:rsidRPr="002822D7">
        <w:t xml:space="preserve">start </w:t>
      </w:r>
      <w:r w:rsidR="00243C0C" w:rsidRPr="002822D7">
        <w:t>increas</w:t>
      </w:r>
      <w:r w:rsidRPr="002822D7">
        <w:t>ing again</w:t>
      </w:r>
      <w:r w:rsidR="00725435">
        <w:t xml:space="preserve">, reaching </w:t>
      </w:r>
      <w:r w:rsidR="00790224" w:rsidRPr="002822D7">
        <w:t>1</w:t>
      </w:r>
      <w:r w:rsidR="00725435">
        <w:t>6</w:t>
      </w:r>
      <w:r w:rsidR="00790224" w:rsidRPr="002822D7">
        <w:t>,82</w:t>
      </w:r>
      <w:r w:rsidR="00725435">
        <w:t>1</w:t>
      </w:r>
      <w:r w:rsidR="00306ADE" w:rsidRPr="002822D7">
        <w:t xml:space="preserve"> in 203</w:t>
      </w:r>
      <w:r w:rsidR="00725435">
        <w:t>6</w:t>
      </w:r>
      <w:r w:rsidRPr="002822D7">
        <w:t>, with a continued upward trajectory</w:t>
      </w:r>
      <w:r w:rsidR="00306ADE" w:rsidRPr="002822D7">
        <w:t>.</w:t>
      </w:r>
    </w:p>
    <w:p w14:paraId="3F2C156D" w14:textId="29344F9F" w:rsidR="00EC1656" w:rsidRPr="002822D7" w:rsidRDefault="00EC1656"/>
    <w:p w14:paraId="77531552" w14:textId="25B633F8" w:rsidR="00306ADE" w:rsidRPr="002822D7" w:rsidRDefault="00306ADE" w:rsidP="00306ADE">
      <w:pPr>
        <w:pStyle w:val="Header"/>
      </w:pPr>
      <w:r w:rsidRPr="002822D7">
        <w:t xml:space="preserve">Chart 2: Harrow’s 0 to </w:t>
      </w:r>
      <w:r w:rsidR="006465A2">
        <w:t>4</w:t>
      </w:r>
      <w:r w:rsidRPr="002822D7">
        <w:t xml:space="preserve"> year old population</w:t>
      </w:r>
    </w:p>
    <w:p w14:paraId="4965DF14" w14:textId="7E26FC28" w:rsidR="00306ADE" w:rsidRPr="002822D7" w:rsidRDefault="00731E71" w:rsidP="00306ADE">
      <w:pPr>
        <w:pStyle w:val="Header"/>
      </w:pPr>
      <w:r>
        <w:rPr>
          <w:noProof/>
        </w:rPr>
        <w:drawing>
          <wp:inline distT="0" distB="0" distL="0" distR="0" wp14:anchorId="76ECE3BB" wp14:editId="4955DDB3">
            <wp:extent cx="6492875" cy="3218815"/>
            <wp:effectExtent l="0" t="0" r="3175" b="63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92875" cy="3218815"/>
                    </a:xfrm>
                    <a:prstGeom prst="rect">
                      <a:avLst/>
                    </a:prstGeom>
                    <a:noFill/>
                  </pic:spPr>
                </pic:pic>
              </a:graphicData>
            </a:graphic>
          </wp:inline>
        </w:drawing>
      </w:r>
    </w:p>
    <w:p w14:paraId="071200C6" w14:textId="77777777" w:rsidR="002B5A82" w:rsidRDefault="002B5A82" w:rsidP="002B5A82">
      <w:pPr>
        <w:rPr>
          <w:sz w:val="20"/>
          <w:szCs w:val="20"/>
        </w:rPr>
      </w:pPr>
      <w:r w:rsidRPr="002822D7">
        <w:rPr>
          <w:sz w:val="20"/>
          <w:szCs w:val="20"/>
        </w:rPr>
        <w:t>Source: GLA’s Harr</w:t>
      </w:r>
      <w:r>
        <w:rPr>
          <w:sz w:val="20"/>
          <w:szCs w:val="20"/>
        </w:rPr>
        <w:t>ow 10 year constrained</w:t>
      </w:r>
    </w:p>
    <w:p w14:paraId="73C22993" w14:textId="04C378A3" w:rsidR="00234723" w:rsidRPr="002822D7" w:rsidRDefault="00234723"/>
    <w:p w14:paraId="26406DD1" w14:textId="76EE9AD6" w:rsidR="00EC2510" w:rsidRPr="002822D7" w:rsidRDefault="00B47D9E" w:rsidP="00EC2510">
      <w:pPr>
        <w:pStyle w:val="Header"/>
      </w:pPr>
      <w:r w:rsidRPr="002822D7">
        <w:lastRenderedPageBreak/>
        <w:t xml:space="preserve">Chart 3 below shows that the </w:t>
      </w:r>
      <w:r w:rsidR="00EC2510" w:rsidRPr="002822D7">
        <w:t xml:space="preserve">number of </w:t>
      </w:r>
      <w:proofErr w:type="gramStart"/>
      <w:r w:rsidR="00691B6F">
        <w:t>5</w:t>
      </w:r>
      <w:r w:rsidR="00EC2510" w:rsidRPr="002822D7">
        <w:t xml:space="preserve"> to 10 year olds</w:t>
      </w:r>
      <w:proofErr w:type="gramEnd"/>
      <w:r w:rsidR="00EC2510" w:rsidRPr="002822D7">
        <w:t xml:space="preserve"> increased from </w:t>
      </w:r>
      <w:r w:rsidR="00691B6F">
        <w:t>17</w:t>
      </w:r>
      <w:r w:rsidR="00EC2510" w:rsidRPr="002822D7">
        <w:t>,</w:t>
      </w:r>
      <w:r w:rsidR="00691B6F">
        <w:t>290</w:t>
      </w:r>
      <w:r w:rsidR="00EC2510" w:rsidRPr="002822D7">
        <w:t xml:space="preserve"> in 2011 to </w:t>
      </w:r>
      <w:r w:rsidR="004E66A0">
        <w:t>19,</w:t>
      </w:r>
      <w:r w:rsidR="00EC2510" w:rsidRPr="002822D7">
        <w:t>3</w:t>
      </w:r>
      <w:r w:rsidR="004E66A0">
        <w:t>7</w:t>
      </w:r>
      <w:r w:rsidRPr="002822D7">
        <w:t>8</w:t>
      </w:r>
      <w:r w:rsidR="00EC2510" w:rsidRPr="002822D7">
        <w:t xml:space="preserve"> in 20</w:t>
      </w:r>
      <w:r w:rsidRPr="002822D7">
        <w:t>2</w:t>
      </w:r>
      <w:r w:rsidR="004E66A0">
        <w:t>1</w:t>
      </w:r>
      <w:r w:rsidR="00EC2510" w:rsidRPr="002822D7">
        <w:t xml:space="preserve">, and are projected to </w:t>
      </w:r>
      <w:r w:rsidRPr="002822D7">
        <w:t xml:space="preserve">decrease from </w:t>
      </w:r>
      <w:r w:rsidR="00EE5BD8">
        <w:t>19</w:t>
      </w:r>
      <w:r w:rsidRPr="002822D7">
        <w:t>,</w:t>
      </w:r>
      <w:r w:rsidR="00EE5BD8">
        <w:t>274</w:t>
      </w:r>
      <w:r w:rsidRPr="002822D7">
        <w:t xml:space="preserve"> in 202</w:t>
      </w:r>
      <w:r w:rsidR="00EE5BD8">
        <w:t>2</w:t>
      </w:r>
      <w:r w:rsidRPr="002822D7">
        <w:t xml:space="preserve"> to </w:t>
      </w:r>
      <w:r w:rsidR="00EE5BD8">
        <w:t>18,434</w:t>
      </w:r>
      <w:r w:rsidR="006434F5" w:rsidRPr="002822D7">
        <w:t xml:space="preserve"> by 203</w:t>
      </w:r>
      <w:r w:rsidR="00EE5BD8">
        <w:t>6</w:t>
      </w:r>
      <w:r w:rsidR="00EC2510" w:rsidRPr="002822D7">
        <w:t xml:space="preserve">. </w:t>
      </w:r>
    </w:p>
    <w:p w14:paraId="4AF33B80" w14:textId="5D97C5E8" w:rsidR="00EC2510" w:rsidRPr="002822D7" w:rsidRDefault="00EC2510"/>
    <w:p w14:paraId="70AFB286" w14:textId="25290655" w:rsidR="00EC2510" w:rsidRDefault="00EC2510" w:rsidP="00EC2510">
      <w:pPr>
        <w:pStyle w:val="Header"/>
      </w:pPr>
      <w:r w:rsidRPr="002822D7">
        <w:t xml:space="preserve">Chart 3: Harrow’s </w:t>
      </w:r>
      <w:r w:rsidR="00B95100">
        <w:t>5</w:t>
      </w:r>
      <w:r w:rsidRPr="002822D7">
        <w:t xml:space="preserve"> to 10 year old population</w:t>
      </w:r>
    </w:p>
    <w:p w14:paraId="019A479A" w14:textId="3C2A2914" w:rsidR="00D65FD1" w:rsidRPr="002822D7" w:rsidRDefault="00220707" w:rsidP="00EC2510">
      <w:pPr>
        <w:pStyle w:val="Header"/>
      </w:pPr>
      <w:r>
        <w:rPr>
          <w:noProof/>
        </w:rPr>
        <w:drawing>
          <wp:inline distT="0" distB="0" distL="0" distR="0" wp14:anchorId="1B0405FB" wp14:editId="34BC703A">
            <wp:extent cx="6492875" cy="3152140"/>
            <wp:effectExtent l="0" t="0" r="317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92875" cy="3152140"/>
                    </a:xfrm>
                    <a:prstGeom prst="rect">
                      <a:avLst/>
                    </a:prstGeom>
                    <a:noFill/>
                  </pic:spPr>
                </pic:pic>
              </a:graphicData>
            </a:graphic>
          </wp:inline>
        </w:drawing>
      </w:r>
    </w:p>
    <w:p w14:paraId="781B19FC" w14:textId="77777777" w:rsidR="002B5A82" w:rsidRDefault="002B5A82" w:rsidP="002B5A82">
      <w:pPr>
        <w:rPr>
          <w:sz w:val="20"/>
          <w:szCs w:val="20"/>
        </w:rPr>
      </w:pPr>
      <w:r w:rsidRPr="002822D7">
        <w:rPr>
          <w:sz w:val="20"/>
          <w:szCs w:val="20"/>
        </w:rPr>
        <w:t>Source: GLA’s Harr</w:t>
      </w:r>
      <w:r>
        <w:rPr>
          <w:sz w:val="20"/>
          <w:szCs w:val="20"/>
        </w:rPr>
        <w:t>ow 10 year constrained</w:t>
      </w:r>
    </w:p>
    <w:p w14:paraId="17EE529F" w14:textId="77777777" w:rsidR="00E77E67" w:rsidRPr="002822D7" w:rsidRDefault="00E77E67"/>
    <w:p w14:paraId="1F5A560B" w14:textId="4D74D770" w:rsidR="00A16979" w:rsidRPr="002822D7" w:rsidRDefault="004E28C7" w:rsidP="00A16979">
      <w:pPr>
        <w:pStyle w:val="Header"/>
      </w:pPr>
      <w:r w:rsidRPr="002822D7">
        <w:t xml:space="preserve">Chart 4 below shows that the number of 11 to 15 year olds </w:t>
      </w:r>
      <w:r w:rsidR="0023509D" w:rsidRPr="002822D7">
        <w:t>decreased from 14,892 in 2011 to 14,</w:t>
      </w:r>
      <w:r w:rsidR="00457586">
        <w:t>344</w:t>
      </w:r>
      <w:r w:rsidR="003C29B8" w:rsidRPr="002822D7">
        <w:t xml:space="preserve"> in 201</w:t>
      </w:r>
      <w:r w:rsidR="00457586">
        <w:t>3</w:t>
      </w:r>
      <w:r w:rsidR="003C29B8" w:rsidRPr="002822D7">
        <w:t>, and then increased to 1</w:t>
      </w:r>
      <w:r w:rsidR="00457586">
        <w:t>6</w:t>
      </w:r>
      <w:r w:rsidR="003C29B8" w:rsidRPr="002822D7">
        <w:t>,</w:t>
      </w:r>
      <w:r w:rsidR="00457586">
        <w:t>357</w:t>
      </w:r>
      <w:r w:rsidR="003C29B8" w:rsidRPr="002822D7">
        <w:t xml:space="preserve"> </w:t>
      </w:r>
      <w:r w:rsidR="00D26181" w:rsidRPr="002822D7">
        <w:t>in 20</w:t>
      </w:r>
      <w:r w:rsidR="00961337" w:rsidRPr="002822D7">
        <w:t>2</w:t>
      </w:r>
      <w:r w:rsidR="00457586">
        <w:t>1</w:t>
      </w:r>
      <w:r w:rsidR="00D26181" w:rsidRPr="002822D7">
        <w:t>.  T</w:t>
      </w:r>
      <w:r w:rsidRPr="002822D7">
        <w:t xml:space="preserve">he projections are </w:t>
      </w:r>
      <w:r w:rsidR="00D26181" w:rsidRPr="002822D7">
        <w:t>p</w:t>
      </w:r>
      <w:r w:rsidR="00D778AD" w:rsidRPr="002822D7">
        <w:t>rojected to continue increasing</w:t>
      </w:r>
      <w:r w:rsidR="00961337" w:rsidRPr="002822D7">
        <w:t>,</w:t>
      </w:r>
      <w:r w:rsidR="00D778AD" w:rsidRPr="002822D7">
        <w:t xml:space="preserve"> peaking at 1</w:t>
      </w:r>
      <w:r w:rsidR="00457586">
        <w:t>7</w:t>
      </w:r>
      <w:r w:rsidR="00D778AD" w:rsidRPr="002822D7">
        <w:t>,</w:t>
      </w:r>
      <w:r w:rsidR="00457586">
        <w:t>049</w:t>
      </w:r>
      <w:r w:rsidR="00D778AD" w:rsidRPr="002822D7">
        <w:t xml:space="preserve"> in 202</w:t>
      </w:r>
      <w:r w:rsidR="00961337" w:rsidRPr="002822D7">
        <w:t>4</w:t>
      </w:r>
      <w:r w:rsidR="00D778AD" w:rsidRPr="002822D7">
        <w:t xml:space="preserve"> and </w:t>
      </w:r>
      <w:r w:rsidR="00457586">
        <w:t xml:space="preserve">then </w:t>
      </w:r>
      <w:r w:rsidR="00961337" w:rsidRPr="002822D7">
        <w:t xml:space="preserve">to decline </w:t>
      </w:r>
      <w:r w:rsidR="0079686D" w:rsidRPr="002822D7">
        <w:t xml:space="preserve">with a downward trajectory </w:t>
      </w:r>
      <w:r w:rsidR="00486E4D" w:rsidRPr="002822D7">
        <w:t>to 1</w:t>
      </w:r>
      <w:r w:rsidR="00961337" w:rsidRPr="002822D7">
        <w:t>4</w:t>
      </w:r>
      <w:r w:rsidR="00486E4D" w:rsidRPr="002822D7">
        <w:t>,</w:t>
      </w:r>
      <w:r w:rsidR="00457586">
        <w:t>775</w:t>
      </w:r>
      <w:r w:rsidR="00486E4D" w:rsidRPr="002822D7">
        <w:t xml:space="preserve"> in 203</w:t>
      </w:r>
      <w:r w:rsidR="00457586">
        <w:t>6</w:t>
      </w:r>
      <w:r w:rsidR="00486E4D" w:rsidRPr="002822D7">
        <w:t>.</w:t>
      </w:r>
    </w:p>
    <w:p w14:paraId="631E3E01" w14:textId="77777777" w:rsidR="00D11C37" w:rsidRPr="002822D7" w:rsidRDefault="00D11C37" w:rsidP="00A16979">
      <w:pPr>
        <w:pStyle w:val="Header"/>
      </w:pPr>
    </w:p>
    <w:p w14:paraId="51C75598" w14:textId="59F7BCBC" w:rsidR="00A16979" w:rsidRPr="002822D7" w:rsidRDefault="00A16979" w:rsidP="00A16979">
      <w:pPr>
        <w:pStyle w:val="Header"/>
      </w:pPr>
      <w:r w:rsidRPr="002822D7">
        <w:t xml:space="preserve">Chart </w:t>
      </w:r>
      <w:r w:rsidR="009170B2" w:rsidRPr="002822D7">
        <w:t>4</w:t>
      </w:r>
      <w:r w:rsidRPr="002822D7">
        <w:t>: Harrow’s 11 to 15 year old population</w:t>
      </w:r>
    </w:p>
    <w:p w14:paraId="27C04F2F" w14:textId="0D4F5CA4" w:rsidR="009170B2" w:rsidRPr="002822D7" w:rsidRDefault="00457586" w:rsidP="00A16979">
      <w:pPr>
        <w:pStyle w:val="Header"/>
      </w:pPr>
      <w:r>
        <w:rPr>
          <w:noProof/>
        </w:rPr>
        <w:drawing>
          <wp:inline distT="0" distB="0" distL="0" distR="0" wp14:anchorId="52E46495" wp14:editId="65E7EBD6">
            <wp:extent cx="6492875" cy="3152140"/>
            <wp:effectExtent l="0" t="0" r="317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92875" cy="3152140"/>
                    </a:xfrm>
                    <a:prstGeom prst="rect">
                      <a:avLst/>
                    </a:prstGeom>
                    <a:noFill/>
                  </pic:spPr>
                </pic:pic>
              </a:graphicData>
            </a:graphic>
          </wp:inline>
        </w:drawing>
      </w:r>
    </w:p>
    <w:p w14:paraId="739FCADF" w14:textId="77777777" w:rsidR="002B5A82" w:rsidRDefault="002B5A82" w:rsidP="002B5A82">
      <w:pPr>
        <w:rPr>
          <w:sz w:val="20"/>
          <w:szCs w:val="20"/>
        </w:rPr>
      </w:pPr>
      <w:r w:rsidRPr="002822D7">
        <w:rPr>
          <w:sz w:val="20"/>
          <w:szCs w:val="20"/>
        </w:rPr>
        <w:t>Source: GLA’s Harr</w:t>
      </w:r>
      <w:r>
        <w:rPr>
          <w:sz w:val="20"/>
          <w:szCs w:val="20"/>
        </w:rPr>
        <w:t>ow 10 year constrained</w:t>
      </w:r>
    </w:p>
    <w:p w14:paraId="294C0227" w14:textId="609892F1" w:rsidR="00F86821" w:rsidRPr="002822D7" w:rsidRDefault="00F86821"/>
    <w:p w14:paraId="52615F34" w14:textId="378330DC" w:rsidR="006D3BB8" w:rsidRPr="002822D7" w:rsidRDefault="006D3BB8" w:rsidP="006D3BB8">
      <w:pPr>
        <w:pStyle w:val="Header"/>
      </w:pPr>
      <w:r w:rsidRPr="002822D7">
        <w:t xml:space="preserve">Chart 5 below shows that the number of 16 to </w:t>
      </w:r>
      <w:r w:rsidR="00B57CC0">
        <w:t>19</w:t>
      </w:r>
      <w:r w:rsidRPr="002822D7">
        <w:t xml:space="preserve"> year olds has dropped from </w:t>
      </w:r>
      <w:r w:rsidR="00B57CC0">
        <w:t>12</w:t>
      </w:r>
      <w:r w:rsidRPr="002822D7">
        <w:t>,</w:t>
      </w:r>
      <w:r w:rsidR="00B57CC0">
        <w:t>264</w:t>
      </w:r>
      <w:r w:rsidRPr="002822D7">
        <w:t xml:space="preserve"> in 2011 to </w:t>
      </w:r>
      <w:r w:rsidR="00E66DED">
        <w:t>11</w:t>
      </w:r>
      <w:r w:rsidRPr="002822D7">
        <w:t>,</w:t>
      </w:r>
      <w:r w:rsidR="00173FFE" w:rsidRPr="002822D7">
        <w:t>3</w:t>
      </w:r>
      <w:r w:rsidR="00640C4E" w:rsidRPr="002822D7">
        <w:t>3</w:t>
      </w:r>
      <w:r w:rsidR="00E66DED">
        <w:t>6</w:t>
      </w:r>
      <w:r w:rsidRPr="002822D7">
        <w:t xml:space="preserve"> in 201</w:t>
      </w:r>
      <w:r w:rsidR="00E66DED">
        <w:t>5</w:t>
      </w:r>
      <w:r w:rsidRPr="002822D7">
        <w:t xml:space="preserve">, </w:t>
      </w:r>
      <w:r w:rsidR="00173FFE" w:rsidRPr="002822D7">
        <w:t xml:space="preserve">and </w:t>
      </w:r>
      <w:r w:rsidR="00640C4E" w:rsidRPr="002822D7">
        <w:t xml:space="preserve">then rose to </w:t>
      </w:r>
      <w:r w:rsidR="00CE4205">
        <w:t>1</w:t>
      </w:r>
      <w:r w:rsidR="00640C4E" w:rsidRPr="002822D7">
        <w:t>2,</w:t>
      </w:r>
      <w:r w:rsidR="00CE4205">
        <w:t>051</w:t>
      </w:r>
      <w:r w:rsidR="00640C4E" w:rsidRPr="002822D7">
        <w:t xml:space="preserve"> in 202</w:t>
      </w:r>
      <w:r w:rsidR="00CE4205">
        <w:t>1</w:t>
      </w:r>
      <w:r w:rsidR="00640C4E" w:rsidRPr="002822D7">
        <w:t xml:space="preserve">.  The numbers </w:t>
      </w:r>
      <w:r w:rsidRPr="002822D7">
        <w:t xml:space="preserve">are projected to </w:t>
      </w:r>
      <w:r w:rsidR="00DC3E7A">
        <w:t>continue increasing to 13,301 in 2028 and then start decreasing to 11,801 by</w:t>
      </w:r>
      <w:r w:rsidR="00640C4E" w:rsidRPr="002822D7">
        <w:t xml:space="preserve"> 203</w:t>
      </w:r>
      <w:r w:rsidR="00DC3E7A">
        <w:t>6</w:t>
      </w:r>
      <w:r w:rsidRPr="002822D7">
        <w:t>.</w:t>
      </w:r>
    </w:p>
    <w:p w14:paraId="4F5A32F2" w14:textId="77777777" w:rsidR="006D3BB8" w:rsidRPr="002822D7" w:rsidRDefault="006D3BB8" w:rsidP="00A16979">
      <w:pPr>
        <w:pStyle w:val="Header"/>
      </w:pPr>
    </w:p>
    <w:p w14:paraId="27369C38" w14:textId="77777777" w:rsidR="00B57CC0" w:rsidRDefault="00B57CC0" w:rsidP="00A16979">
      <w:pPr>
        <w:pStyle w:val="Header"/>
      </w:pPr>
    </w:p>
    <w:p w14:paraId="143A8AB8" w14:textId="77777777" w:rsidR="00B57CC0" w:rsidRDefault="00B57CC0" w:rsidP="00A16979">
      <w:pPr>
        <w:pStyle w:val="Header"/>
      </w:pPr>
    </w:p>
    <w:p w14:paraId="05EDC153" w14:textId="77777777" w:rsidR="00B57CC0" w:rsidRDefault="00B57CC0" w:rsidP="00A16979">
      <w:pPr>
        <w:pStyle w:val="Header"/>
      </w:pPr>
    </w:p>
    <w:p w14:paraId="086EC504" w14:textId="77777777" w:rsidR="00695AB2" w:rsidRDefault="00695AB2" w:rsidP="00A16979">
      <w:pPr>
        <w:pStyle w:val="Header"/>
      </w:pPr>
    </w:p>
    <w:p w14:paraId="2D9B9349" w14:textId="17573A93" w:rsidR="009170B2" w:rsidRPr="002822D7" w:rsidRDefault="00FE7065" w:rsidP="00A16979">
      <w:pPr>
        <w:pStyle w:val="Header"/>
      </w:pPr>
      <w:r w:rsidRPr="002822D7">
        <w:t>Chart 5</w:t>
      </w:r>
      <w:r w:rsidR="006D3BB8" w:rsidRPr="002822D7">
        <w:t xml:space="preserve">: Harrow’s 16 to </w:t>
      </w:r>
      <w:r w:rsidR="00B57CC0">
        <w:t>19</w:t>
      </w:r>
      <w:r w:rsidR="006D3BB8" w:rsidRPr="002822D7">
        <w:t xml:space="preserve"> year old population</w:t>
      </w:r>
    </w:p>
    <w:p w14:paraId="12FF3716" w14:textId="03B60B3B" w:rsidR="00FE7065" w:rsidRPr="002822D7" w:rsidRDefault="00B57CC0" w:rsidP="00A16979">
      <w:pPr>
        <w:pStyle w:val="Header"/>
      </w:pPr>
      <w:r>
        <w:rPr>
          <w:noProof/>
        </w:rPr>
        <w:drawing>
          <wp:inline distT="0" distB="0" distL="0" distR="0" wp14:anchorId="5F2A3D6E" wp14:editId="7E2F9D64">
            <wp:extent cx="6492875" cy="3152140"/>
            <wp:effectExtent l="0" t="0" r="317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492875" cy="3152140"/>
                    </a:xfrm>
                    <a:prstGeom prst="rect">
                      <a:avLst/>
                    </a:prstGeom>
                    <a:noFill/>
                  </pic:spPr>
                </pic:pic>
              </a:graphicData>
            </a:graphic>
          </wp:inline>
        </w:drawing>
      </w:r>
    </w:p>
    <w:p w14:paraId="6D7A7540" w14:textId="77777777" w:rsidR="002B5A82" w:rsidRDefault="002B5A82" w:rsidP="002B5A82">
      <w:pPr>
        <w:rPr>
          <w:sz w:val="20"/>
          <w:szCs w:val="20"/>
        </w:rPr>
      </w:pPr>
      <w:r w:rsidRPr="002822D7">
        <w:rPr>
          <w:sz w:val="20"/>
          <w:szCs w:val="20"/>
        </w:rPr>
        <w:t>Source: GLA’s Harr</w:t>
      </w:r>
      <w:r>
        <w:rPr>
          <w:sz w:val="20"/>
          <w:szCs w:val="20"/>
        </w:rPr>
        <w:t>ow 10 year constrained</w:t>
      </w:r>
    </w:p>
    <w:p w14:paraId="69746594" w14:textId="77777777" w:rsidR="00695AB2" w:rsidRDefault="00695AB2"/>
    <w:p w14:paraId="04920F79" w14:textId="3D7FCB4D" w:rsidR="00073338" w:rsidRDefault="00F666B6">
      <w:pPr>
        <w:rPr>
          <w:rFonts w:cs="Times New Roman"/>
          <w:bCs/>
        </w:rPr>
      </w:pPr>
      <w:r w:rsidRPr="00F666B6">
        <w:rPr>
          <w:rFonts w:cs="Times New Roman"/>
          <w:bCs/>
        </w:rPr>
        <w:t>C</w:t>
      </w:r>
      <w:r>
        <w:rPr>
          <w:rFonts w:cs="Times New Roman"/>
          <w:bCs/>
        </w:rPr>
        <w:t>hart 6 below</w:t>
      </w:r>
      <w:r w:rsidR="00864BDE">
        <w:rPr>
          <w:rFonts w:cs="Times New Roman"/>
          <w:bCs/>
        </w:rPr>
        <w:t xml:space="preserve"> shows that the number of 20 to 25 year olds dropped from 19,641 in 2022 to 18,501 in 2017 and then started to increase, reaching 18,585 by 2021.  The projections increase from 19,075 in 2022 to 20,389 in 2030 and then start to drop steadily to 19,964 by 2036.</w:t>
      </w:r>
    </w:p>
    <w:p w14:paraId="23EF302C" w14:textId="3D492A0D" w:rsidR="00073338" w:rsidRDefault="00073338">
      <w:pPr>
        <w:rPr>
          <w:rFonts w:cs="Times New Roman"/>
          <w:bCs/>
        </w:rPr>
      </w:pPr>
    </w:p>
    <w:p w14:paraId="05F7043A" w14:textId="222DE193" w:rsidR="00073338" w:rsidRDefault="00073338" w:rsidP="00073338">
      <w:pPr>
        <w:pStyle w:val="Header"/>
      </w:pPr>
      <w:r w:rsidRPr="002822D7">
        <w:t xml:space="preserve">Chart </w:t>
      </w:r>
      <w:r>
        <w:t>6</w:t>
      </w:r>
      <w:r w:rsidRPr="002822D7">
        <w:t xml:space="preserve">: Harrow’s </w:t>
      </w:r>
      <w:r>
        <w:t>20</w:t>
      </w:r>
      <w:r w:rsidRPr="002822D7">
        <w:t xml:space="preserve"> to </w:t>
      </w:r>
      <w:r>
        <w:t>25</w:t>
      </w:r>
      <w:r w:rsidRPr="002822D7">
        <w:t xml:space="preserve"> year old population</w:t>
      </w:r>
    </w:p>
    <w:p w14:paraId="55339373" w14:textId="65FC4D5B" w:rsidR="00933BC2" w:rsidRDefault="00933BC2" w:rsidP="00073338">
      <w:pPr>
        <w:pStyle w:val="Header"/>
      </w:pPr>
      <w:r>
        <w:rPr>
          <w:rFonts w:cs="Times New Roman"/>
          <w:bCs/>
          <w:noProof/>
        </w:rPr>
        <w:drawing>
          <wp:inline distT="0" distB="0" distL="0" distR="0" wp14:anchorId="1B309944" wp14:editId="24AD5EC7">
            <wp:extent cx="6479540" cy="3145666"/>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479540" cy="3145666"/>
                    </a:xfrm>
                    <a:prstGeom prst="rect">
                      <a:avLst/>
                    </a:prstGeom>
                    <a:noFill/>
                  </pic:spPr>
                </pic:pic>
              </a:graphicData>
            </a:graphic>
          </wp:inline>
        </w:drawing>
      </w:r>
    </w:p>
    <w:p w14:paraId="1533F307" w14:textId="7E3215B8" w:rsidR="00933BC2" w:rsidRDefault="00933BC2" w:rsidP="00933BC2">
      <w:pPr>
        <w:rPr>
          <w:sz w:val="20"/>
          <w:szCs w:val="20"/>
        </w:rPr>
      </w:pPr>
      <w:r w:rsidRPr="002822D7">
        <w:rPr>
          <w:sz w:val="20"/>
          <w:szCs w:val="20"/>
        </w:rPr>
        <w:t>Source: GLA’s Harr</w:t>
      </w:r>
      <w:r w:rsidR="002B5A82">
        <w:rPr>
          <w:sz w:val="20"/>
          <w:szCs w:val="20"/>
        </w:rPr>
        <w:t>ow 10 year constrained</w:t>
      </w:r>
    </w:p>
    <w:p w14:paraId="15D6014D" w14:textId="4DFCA59D" w:rsidR="00933BC2" w:rsidRPr="00933BC2" w:rsidRDefault="00933BC2" w:rsidP="00073338">
      <w:pPr>
        <w:pStyle w:val="Header"/>
        <w:rPr>
          <w:sz w:val="20"/>
          <w:szCs w:val="20"/>
        </w:rPr>
      </w:pPr>
    </w:p>
    <w:p w14:paraId="706A4C2D" w14:textId="38F959E0" w:rsidR="00933BC2" w:rsidRDefault="00933BC2" w:rsidP="00073338">
      <w:pPr>
        <w:pStyle w:val="Header"/>
      </w:pPr>
    </w:p>
    <w:p w14:paraId="50F9C635" w14:textId="1935C54F" w:rsidR="00933BC2" w:rsidRDefault="00933BC2" w:rsidP="00073338">
      <w:pPr>
        <w:pStyle w:val="Header"/>
      </w:pPr>
    </w:p>
    <w:p w14:paraId="3EDF2A50" w14:textId="126704E6" w:rsidR="00933BC2" w:rsidRDefault="00933BC2" w:rsidP="00073338">
      <w:pPr>
        <w:pStyle w:val="Header"/>
      </w:pPr>
    </w:p>
    <w:p w14:paraId="1533AA1F" w14:textId="7A12346F" w:rsidR="00933BC2" w:rsidRDefault="00933BC2" w:rsidP="00073338">
      <w:pPr>
        <w:pStyle w:val="Header"/>
      </w:pPr>
    </w:p>
    <w:p w14:paraId="277289FA" w14:textId="7023F4D7" w:rsidR="00933BC2" w:rsidRDefault="00933BC2" w:rsidP="00073338">
      <w:pPr>
        <w:pStyle w:val="Header"/>
      </w:pPr>
    </w:p>
    <w:p w14:paraId="0B90219F" w14:textId="3B16AFB5" w:rsidR="00A16979" w:rsidRPr="00540E9A" w:rsidRDefault="00A16979" w:rsidP="0068159F">
      <w:pPr>
        <w:rPr>
          <w:rFonts w:cs="Times New Roman"/>
          <w:b/>
          <w:lang w:val="en-US"/>
        </w:rPr>
      </w:pPr>
      <w:r w:rsidRPr="00540E9A">
        <w:rPr>
          <w:rFonts w:cs="Times New Roman"/>
          <w:b/>
        </w:rPr>
        <w:lastRenderedPageBreak/>
        <w:t>Primary Planning Areas</w:t>
      </w:r>
    </w:p>
    <w:p w14:paraId="369E32A1" w14:textId="3D08475C" w:rsidR="003D70F9" w:rsidRPr="002822D7" w:rsidRDefault="003D70F9" w:rsidP="0068159F">
      <w:pPr>
        <w:pStyle w:val="BodyText2"/>
        <w:rPr>
          <w:rFonts w:cs="Times New Roman"/>
          <w:color w:val="auto"/>
        </w:rPr>
      </w:pPr>
      <w:r w:rsidRPr="00540E9A">
        <w:rPr>
          <w:rFonts w:cs="Times New Roman"/>
          <w:color w:val="auto"/>
        </w:rPr>
        <w:t xml:space="preserve">The GLA projections for primary schools are area based, using the Planning Areas created in 2004 by Harrow Council for school place planning when they were changed to reflect boundary changes. The projections for each Planning Area </w:t>
      </w:r>
      <w:r w:rsidR="00B34057" w:rsidRPr="00540E9A">
        <w:rPr>
          <w:rFonts w:cs="Times New Roman"/>
          <w:color w:val="auto"/>
        </w:rPr>
        <w:t>were</w:t>
      </w:r>
      <w:r w:rsidRPr="00540E9A">
        <w:rPr>
          <w:rFonts w:cs="Times New Roman"/>
          <w:color w:val="auto"/>
        </w:rPr>
        <w:t xml:space="preserve"> based on a combination of ward-level</w:t>
      </w:r>
      <w:r w:rsidRPr="002822D7">
        <w:rPr>
          <w:rFonts w:cs="Times New Roman"/>
          <w:color w:val="auto"/>
        </w:rPr>
        <w:t xml:space="preserve"> child population projections and the historic pattern of subscription to schools.</w:t>
      </w:r>
    </w:p>
    <w:p w14:paraId="1F4FE1A0" w14:textId="77777777" w:rsidR="0068159F" w:rsidRPr="002822D7" w:rsidRDefault="0068159F" w:rsidP="0068159F">
      <w:pPr>
        <w:pStyle w:val="BodyText2"/>
        <w:rPr>
          <w:rFonts w:cs="Times New Roman"/>
          <w:color w:val="auto"/>
        </w:rPr>
      </w:pPr>
    </w:p>
    <w:p w14:paraId="6E092154" w14:textId="1C1732D4" w:rsidR="003D70F9" w:rsidRPr="002822D7" w:rsidRDefault="003D70F9" w:rsidP="0068159F">
      <w:pPr>
        <w:pStyle w:val="BodyText2"/>
        <w:rPr>
          <w:rFonts w:cs="Times New Roman"/>
          <w:color w:val="auto"/>
        </w:rPr>
      </w:pPr>
      <w:r w:rsidRPr="002822D7">
        <w:rPr>
          <w:rFonts w:cs="Times New Roman"/>
          <w:color w:val="auto"/>
        </w:rPr>
        <w:t>Historically a methodology was used where schools were placed in planning area based on the wards that majority of the pupils resided in</w:t>
      </w:r>
      <w:r w:rsidR="00B34057" w:rsidRPr="002822D7">
        <w:rPr>
          <w:rFonts w:cs="Times New Roman"/>
          <w:color w:val="auto"/>
        </w:rPr>
        <w:t>,</w:t>
      </w:r>
      <w:r w:rsidRPr="002822D7">
        <w:rPr>
          <w:rFonts w:cs="Times New Roman"/>
          <w:color w:val="auto"/>
        </w:rPr>
        <w:t xml:space="preserve"> </w:t>
      </w:r>
      <w:proofErr w:type="gramStart"/>
      <w:r w:rsidRPr="002822D7">
        <w:rPr>
          <w:rFonts w:cs="Times New Roman"/>
          <w:color w:val="auto"/>
        </w:rPr>
        <w:t xml:space="preserve">with </w:t>
      </w:r>
      <w:r w:rsidR="0057000F" w:rsidRPr="002822D7">
        <w:rPr>
          <w:rFonts w:cs="Times New Roman"/>
          <w:color w:val="auto"/>
        </w:rPr>
        <w:t xml:space="preserve">the </w:t>
      </w:r>
      <w:r w:rsidRPr="002822D7">
        <w:rPr>
          <w:rFonts w:cs="Times New Roman"/>
          <w:color w:val="auto"/>
        </w:rPr>
        <w:t>exception of</w:t>
      </w:r>
      <w:proofErr w:type="gramEnd"/>
      <w:r w:rsidRPr="002822D7">
        <w:rPr>
          <w:rFonts w:cs="Times New Roman"/>
          <w:color w:val="auto"/>
        </w:rPr>
        <w:t xml:space="preserve"> Voluntary Aided Schools. Wards were grouped together geographically </w:t>
      </w:r>
      <w:proofErr w:type="gramStart"/>
      <w:r w:rsidRPr="002822D7">
        <w:rPr>
          <w:rFonts w:cs="Times New Roman"/>
          <w:color w:val="auto"/>
        </w:rPr>
        <w:t>taking in</w:t>
      </w:r>
      <w:r w:rsidR="0057000F" w:rsidRPr="002822D7">
        <w:rPr>
          <w:rFonts w:cs="Times New Roman"/>
          <w:color w:val="auto"/>
        </w:rPr>
        <w:t>to</w:t>
      </w:r>
      <w:r w:rsidRPr="002822D7">
        <w:rPr>
          <w:rFonts w:cs="Times New Roman"/>
          <w:color w:val="auto"/>
        </w:rPr>
        <w:t xml:space="preserve"> account</w:t>
      </w:r>
      <w:proofErr w:type="gramEnd"/>
      <w:r w:rsidRPr="002822D7">
        <w:rPr>
          <w:rFonts w:cs="Times New Roman"/>
          <w:color w:val="auto"/>
        </w:rPr>
        <w:t xml:space="preserve"> the schools attend</w:t>
      </w:r>
      <w:r w:rsidR="00B34057" w:rsidRPr="002822D7">
        <w:rPr>
          <w:rFonts w:cs="Times New Roman"/>
          <w:color w:val="auto"/>
        </w:rPr>
        <w:t>ed</w:t>
      </w:r>
      <w:r w:rsidRPr="002822D7">
        <w:rPr>
          <w:rFonts w:cs="Times New Roman"/>
          <w:color w:val="auto"/>
        </w:rPr>
        <w:t xml:space="preserve"> by pupils living the ward. Where </w:t>
      </w:r>
      <w:r w:rsidR="0057000F" w:rsidRPr="002822D7">
        <w:rPr>
          <w:rFonts w:cs="Times New Roman"/>
          <w:color w:val="auto"/>
        </w:rPr>
        <w:t xml:space="preserve">the </w:t>
      </w:r>
      <w:r w:rsidRPr="002822D7">
        <w:rPr>
          <w:rFonts w:cs="Times New Roman"/>
          <w:color w:val="auto"/>
        </w:rPr>
        <w:t xml:space="preserve">percentage of pupils from wards </w:t>
      </w:r>
      <w:r w:rsidR="00B34057" w:rsidRPr="002822D7">
        <w:rPr>
          <w:rFonts w:cs="Times New Roman"/>
          <w:color w:val="auto"/>
        </w:rPr>
        <w:t>w</w:t>
      </w:r>
      <w:r w:rsidR="0057000F" w:rsidRPr="002822D7">
        <w:rPr>
          <w:rFonts w:cs="Times New Roman"/>
          <w:color w:val="auto"/>
        </w:rPr>
        <w:t>as</w:t>
      </w:r>
      <w:r w:rsidRPr="002822D7">
        <w:rPr>
          <w:rFonts w:cs="Times New Roman"/>
          <w:color w:val="auto"/>
        </w:rPr>
        <w:t xml:space="preserve"> less than 40% the geographical location of the ward and schools were </w:t>
      </w:r>
      <w:proofErr w:type="gramStart"/>
      <w:r w:rsidRPr="002822D7">
        <w:rPr>
          <w:rFonts w:cs="Times New Roman"/>
          <w:color w:val="auto"/>
        </w:rPr>
        <w:t>taken into account</w:t>
      </w:r>
      <w:proofErr w:type="gramEnd"/>
      <w:r w:rsidRPr="002822D7">
        <w:rPr>
          <w:rFonts w:cs="Times New Roman"/>
          <w:color w:val="auto"/>
        </w:rPr>
        <w:t xml:space="preserve">. It was decided that </w:t>
      </w:r>
      <w:r w:rsidR="0057000F" w:rsidRPr="002822D7">
        <w:rPr>
          <w:rFonts w:cs="Times New Roman"/>
          <w:color w:val="auto"/>
        </w:rPr>
        <w:t xml:space="preserve">the </w:t>
      </w:r>
      <w:r w:rsidRPr="002822D7">
        <w:rPr>
          <w:rFonts w:cs="Times New Roman"/>
          <w:color w:val="auto"/>
        </w:rPr>
        <w:t xml:space="preserve">Voluntary Aided primary schools would have a non-geographical planning area as </w:t>
      </w:r>
      <w:r w:rsidR="0057000F" w:rsidRPr="002822D7">
        <w:rPr>
          <w:rFonts w:cs="Times New Roman"/>
          <w:color w:val="auto"/>
        </w:rPr>
        <w:t xml:space="preserve">their </w:t>
      </w:r>
      <w:r w:rsidRPr="002822D7">
        <w:rPr>
          <w:rFonts w:cs="Times New Roman"/>
          <w:color w:val="auto"/>
        </w:rPr>
        <w:t>pupils resided across the borough.</w:t>
      </w:r>
    </w:p>
    <w:p w14:paraId="05E230A2" w14:textId="49D4F4C7" w:rsidR="0068159F" w:rsidRPr="002822D7" w:rsidRDefault="0068159F" w:rsidP="0068159F">
      <w:pPr>
        <w:pStyle w:val="BodyText2"/>
        <w:rPr>
          <w:rFonts w:cs="Times New Roman"/>
          <w:color w:val="auto"/>
        </w:rPr>
      </w:pPr>
    </w:p>
    <w:p w14:paraId="09F0CB5B" w14:textId="729D73DC" w:rsidR="0057000F" w:rsidRPr="002822D7" w:rsidRDefault="0057000F" w:rsidP="00E4647E">
      <w:pPr>
        <w:pStyle w:val="BodyText2"/>
        <w:rPr>
          <w:rFonts w:cs="Times New Roman"/>
          <w:color w:val="auto"/>
        </w:rPr>
      </w:pPr>
      <w:r w:rsidRPr="002822D7">
        <w:rPr>
          <w:rFonts w:cs="Times New Roman"/>
          <w:color w:val="auto"/>
        </w:rPr>
        <w:t xml:space="preserve">The recent review of the current planning areas is in line with DfE guidance and an analysis of where pupils went to school in May 2021, based on pupils’ postcodes, has been used. The new Primary Planning Areas were redefined using the new May 2022 wards retaining the current methodology as described above. The DfE’s current planning area guidance has strongly recommended not using non-geographical planning areas therefore a decision to </w:t>
      </w:r>
      <w:r w:rsidR="00AE365D" w:rsidRPr="002822D7">
        <w:rPr>
          <w:rFonts w:cs="Times New Roman"/>
          <w:color w:val="auto"/>
        </w:rPr>
        <w:t xml:space="preserve">not </w:t>
      </w:r>
      <w:r w:rsidRPr="002822D7">
        <w:rPr>
          <w:rFonts w:cs="Times New Roman"/>
          <w:color w:val="auto"/>
        </w:rPr>
        <w:t xml:space="preserve">include the voluntary aided primary schools in the existing 5 geographical planning areas has been implemented.  This resulted in the deletion of the </w:t>
      </w:r>
      <w:proofErr w:type="spellStart"/>
      <w:r w:rsidRPr="002822D7">
        <w:rPr>
          <w:rFonts w:cs="Times New Roman"/>
          <w:color w:val="auto"/>
        </w:rPr>
        <w:t>Volutary</w:t>
      </w:r>
      <w:proofErr w:type="spellEnd"/>
      <w:r w:rsidRPr="002822D7">
        <w:rPr>
          <w:rFonts w:cs="Times New Roman"/>
          <w:color w:val="auto"/>
        </w:rPr>
        <w:t xml:space="preserve"> Aided primary planning area </w:t>
      </w:r>
      <w:proofErr w:type="gramStart"/>
      <w:r w:rsidRPr="002822D7">
        <w:rPr>
          <w:rFonts w:cs="Times New Roman"/>
          <w:color w:val="auto"/>
        </w:rPr>
        <w:t>and  Harrow</w:t>
      </w:r>
      <w:proofErr w:type="gramEnd"/>
      <w:r w:rsidRPr="002822D7">
        <w:rPr>
          <w:rFonts w:cs="Times New Roman"/>
          <w:color w:val="auto"/>
        </w:rPr>
        <w:t xml:space="preserve"> currently has 5 geographical primary planning areas.</w:t>
      </w:r>
    </w:p>
    <w:p w14:paraId="1C2394A6" w14:textId="77777777" w:rsidR="003D70F9" w:rsidRPr="002822D7" w:rsidRDefault="003D70F9" w:rsidP="00E4647E">
      <w:pPr>
        <w:ind w:right="-165"/>
      </w:pPr>
    </w:p>
    <w:p w14:paraId="1A981608" w14:textId="2F59AE69" w:rsidR="00A16979" w:rsidRPr="002822D7" w:rsidRDefault="00A16979" w:rsidP="00A01242">
      <w:pPr>
        <w:pStyle w:val="Heading2"/>
        <w:rPr>
          <w:b/>
          <w:i w:val="0"/>
          <w:color w:val="auto"/>
        </w:rPr>
      </w:pPr>
      <w:r w:rsidRPr="002822D7">
        <w:rPr>
          <w:b/>
          <w:i w:val="0"/>
          <w:color w:val="auto"/>
        </w:rPr>
        <w:t>Harrow’s Births and Reception Year Rolls</w:t>
      </w:r>
    </w:p>
    <w:p w14:paraId="7E92F485" w14:textId="77777777" w:rsidR="00C431A5" w:rsidRDefault="00C431A5" w:rsidP="00C431A5">
      <w:pPr>
        <w:rPr>
          <w:bCs/>
        </w:rPr>
      </w:pPr>
      <w:r w:rsidRPr="00B7014C">
        <w:rPr>
          <w:bCs/>
        </w:rPr>
        <w:t xml:space="preserve">Harrow’s observed births have continued to increase from 2,922 in 2005/06 to 3,620 in 2012/13.  Births fluctuated from 2013/14 onwards - dropping to 3,509 in 2014/15, and </w:t>
      </w:r>
      <w:r>
        <w:rPr>
          <w:bCs/>
        </w:rPr>
        <w:t xml:space="preserve">then </w:t>
      </w:r>
      <w:r w:rsidRPr="00B7014C">
        <w:rPr>
          <w:bCs/>
        </w:rPr>
        <w:t xml:space="preserve">increasing to 3,655 in 2017/18 </w:t>
      </w:r>
      <w:r>
        <w:rPr>
          <w:bCs/>
        </w:rPr>
        <w:t>however Harrow’s births dropped to the lowest they have been over the last decade – decreasing to 3,317 i</w:t>
      </w:r>
      <w:r w:rsidRPr="00B7014C">
        <w:rPr>
          <w:bCs/>
        </w:rPr>
        <w:t>n 20</w:t>
      </w:r>
      <w:r>
        <w:rPr>
          <w:bCs/>
        </w:rPr>
        <w:t>20</w:t>
      </w:r>
      <w:r w:rsidRPr="00B7014C">
        <w:rPr>
          <w:bCs/>
        </w:rPr>
        <w:t>/2</w:t>
      </w:r>
      <w:r>
        <w:rPr>
          <w:bCs/>
        </w:rPr>
        <w:t>1</w:t>
      </w:r>
      <w:r w:rsidRPr="00B7014C">
        <w:rPr>
          <w:bCs/>
        </w:rPr>
        <w:t xml:space="preserve">, as can be seen in </w:t>
      </w:r>
      <w:r>
        <w:rPr>
          <w:bCs/>
        </w:rPr>
        <w:t>the c</w:t>
      </w:r>
      <w:r w:rsidRPr="00B7014C">
        <w:rPr>
          <w:bCs/>
        </w:rPr>
        <w:t xml:space="preserve">hart </w:t>
      </w:r>
      <w:r>
        <w:rPr>
          <w:bCs/>
        </w:rPr>
        <w:t xml:space="preserve">1 </w:t>
      </w:r>
      <w:r w:rsidRPr="00B7014C">
        <w:rPr>
          <w:bCs/>
        </w:rPr>
        <w:t>below.</w:t>
      </w:r>
    </w:p>
    <w:p w14:paraId="66BB8F72" w14:textId="77777777" w:rsidR="00C431A5" w:rsidRDefault="00C431A5" w:rsidP="00C431A5">
      <w:pPr>
        <w:rPr>
          <w:bCs/>
        </w:rPr>
      </w:pPr>
    </w:p>
    <w:p w14:paraId="447AEF71" w14:textId="77777777" w:rsidR="00C431A5" w:rsidRPr="00B7014C" w:rsidRDefault="00C431A5" w:rsidP="00C431A5">
      <w:pPr>
        <w:rPr>
          <w:bCs/>
        </w:rPr>
      </w:pPr>
      <w:r w:rsidRPr="00B7014C">
        <w:rPr>
          <w:bCs/>
        </w:rPr>
        <w:t>In</w:t>
      </w:r>
      <w:r>
        <w:rPr>
          <w:bCs/>
        </w:rPr>
        <w:t xml:space="preserve"> contrast to </w:t>
      </w:r>
      <w:r w:rsidRPr="00B7014C">
        <w:rPr>
          <w:bCs/>
        </w:rPr>
        <w:t>th</w:t>
      </w:r>
      <w:r>
        <w:rPr>
          <w:bCs/>
        </w:rPr>
        <w:t xml:space="preserve">e recent </w:t>
      </w:r>
      <w:r w:rsidRPr="00B7014C">
        <w:rPr>
          <w:bCs/>
        </w:rPr>
        <w:t xml:space="preserve">decline </w:t>
      </w:r>
      <w:r>
        <w:rPr>
          <w:bCs/>
        </w:rPr>
        <w:t xml:space="preserve">in births </w:t>
      </w:r>
      <w:r w:rsidRPr="00B7014C">
        <w:rPr>
          <w:bCs/>
        </w:rPr>
        <w:t xml:space="preserve">Harrow’s projected births are projected to </w:t>
      </w:r>
      <w:r>
        <w:rPr>
          <w:bCs/>
        </w:rPr>
        <w:t xml:space="preserve">continue increasing </w:t>
      </w:r>
      <w:r w:rsidRPr="00B7014C">
        <w:rPr>
          <w:bCs/>
        </w:rPr>
        <w:t>from 3,</w:t>
      </w:r>
      <w:r>
        <w:rPr>
          <w:bCs/>
        </w:rPr>
        <w:t>391</w:t>
      </w:r>
      <w:r w:rsidRPr="00B7014C">
        <w:rPr>
          <w:bCs/>
        </w:rPr>
        <w:t xml:space="preserve"> in 202</w:t>
      </w:r>
      <w:r>
        <w:rPr>
          <w:bCs/>
        </w:rPr>
        <w:t>1</w:t>
      </w:r>
      <w:r w:rsidRPr="00B7014C">
        <w:rPr>
          <w:bCs/>
        </w:rPr>
        <w:t>/2</w:t>
      </w:r>
      <w:r>
        <w:rPr>
          <w:bCs/>
        </w:rPr>
        <w:t>2</w:t>
      </w:r>
      <w:r w:rsidRPr="00B7014C">
        <w:rPr>
          <w:bCs/>
        </w:rPr>
        <w:t xml:space="preserve"> to </w:t>
      </w:r>
      <w:r>
        <w:rPr>
          <w:bCs/>
        </w:rPr>
        <w:t>3,686 and beyond,</w:t>
      </w:r>
      <w:r w:rsidRPr="00B7014C">
        <w:rPr>
          <w:bCs/>
        </w:rPr>
        <w:t xml:space="preserve"> as can be seen in </w:t>
      </w:r>
      <w:r>
        <w:rPr>
          <w:bCs/>
        </w:rPr>
        <w:t>c</w:t>
      </w:r>
      <w:r w:rsidRPr="00B7014C">
        <w:rPr>
          <w:bCs/>
        </w:rPr>
        <w:t xml:space="preserve">hart </w:t>
      </w:r>
      <w:r>
        <w:rPr>
          <w:bCs/>
        </w:rPr>
        <w:t xml:space="preserve">1 </w:t>
      </w:r>
      <w:r w:rsidRPr="00B7014C">
        <w:rPr>
          <w:bCs/>
        </w:rPr>
        <w:t>below</w:t>
      </w:r>
      <w:r>
        <w:rPr>
          <w:bCs/>
        </w:rPr>
        <w:t xml:space="preserve">.  </w:t>
      </w:r>
    </w:p>
    <w:p w14:paraId="57BA74D7" w14:textId="77777777" w:rsidR="007C4D31" w:rsidRPr="002822D7" w:rsidRDefault="007C4D31" w:rsidP="00A16979">
      <w:pPr>
        <w:rPr>
          <w:noProof/>
          <w:lang w:eastAsia="en-GB"/>
        </w:rPr>
      </w:pPr>
    </w:p>
    <w:p w14:paraId="4F68D098" w14:textId="220BE02F" w:rsidR="00A16979" w:rsidRPr="002822D7" w:rsidRDefault="00A16979" w:rsidP="00A16979">
      <w:pPr>
        <w:rPr>
          <w:noProof/>
          <w:lang w:eastAsia="en-GB"/>
        </w:rPr>
      </w:pPr>
      <w:r w:rsidRPr="002822D7">
        <w:rPr>
          <w:noProof/>
          <w:lang w:eastAsia="en-GB"/>
        </w:rPr>
        <w:t xml:space="preserve">Chart </w:t>
      </w:r>
      <w:r w:rsidR="00463ADB" w:rsidRPr="002822D7">
        <w:rPr>
          <w:noProof/>
          <w:lang w:eastAsia="en-GB"/>
        </w:rPr>
        <w:t>6</w:t>
      </w:r>
      <w:r w:rsidRPr="002822D7">
        <w:rPr>
          <w:noProof/>
          <w:lang w:eastAsia="en-GB"/>
        </w:rPr>
        <w:t>: Harrow’s Actual &amp; Projected Births</w:t>
      </w:r>
    </w:p>
    <w:p w14:paraId="446503DC" w14:textId="4B8ECFE7" w:rsidR="00BA4BF2" w:rsidRPr="002822D7" w:rsidRDefault="006F721E" w:rsidP="00A16979">
      <w:pPr>
        <w:rPr>
          <w:noProof/>
          <w:lang w:eastAsia="en-GB"/>
        </w:rPr>
      </w:pPr>
      <w:r>
        <w:rPr>
          <w:b/>
          <w:bCs/>
          <w:noProof/>
        </w:rPr>
        <w:drawing>
          <wp:inline distT="0" distB="0" distL="0" distR="0" wp14:anchorId="40CAAEF4" wp14:editId="01B01052">
            <wp:extent cx="6479540" cy="2711527"/>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479540" cy="2711527"/>
                    </a:xfrm>
                    <a:prstGeom prst="rect">
                      <a:avLst/>
                    </a:prstGeom>
                    <a:noFill/>
                  </pic:spPr>
                </pic:pic>
              </a:graphicData>
            </a:graphic>
          </wp:inline>
        </w:drawing>
      </w:r>
    </w:p>
    <w:p w14:paraId="2DEF8509" w14:textId="7C6DFD1D" w:rsidR="00A16979" w:rsidRPr="002822D7" w:rsidRDefault="00A16979" w:rsidP="00A16979">
      <w:pPr>
        <w:pStyle w:val="Header"/>
        <w:rPr>
          <w:sz w:val="18"/>
          <w:szCs w:val="18"/>
        </w:rPr>
      </w:pPr>
      <w:r w:rsidRPr="002822D7">
        <w:rPr>
          <w:sz w:val="20"/>
          <w:szCs w:val="20"/>
        </w:rPr>
        <w:t xml:space="preserve">Source: </w:t>
      </w:r>
      <w:r w:rsidR="00A11B15" w:rsidRPr="002822D7">
        <w:rPr>
          <w:sz w:val="20"/>
          <w:szCs w:val="20"/>
        </w:rPr>
        <w:t xml:space="preserve">GLA Births </w:t>
      </w:r>
      <w:r w:rsidR="00D004F0" w:rsidRPr="002822D7">
        <w:rPr>
          <w:sz w:val="20"/>
          <w:szCs w:val="20"/>
        </w:rPr>
        <w:t>Harrow</w:t>
      </w:r>
      <w:r w:rsidR="002B5A82">
        <w:rPr>
          <w:sz w:val="20"/>
          <w:szCs w:val="20"/>
        </w:rPr>
        <w:t xml:space="preserve"> 10 year constrained</w:t>
      </w:r>
    </w:p>
    <w:p w14:paraId="58CF6371" w14:textId="77777777" w:rsidR="00A16979" w:rsidRPr="002822D7" w:rsidRDefault="00A16979" w:rsidP="00A16979"/>
    <w:p w14:paraId="2726C73C" w14:textId="797B23FD" w:rsidR="00A16979" w:rsidRPr="002822D7" w:rsidRDefault="00A16979" w:rsidP="00A16979">
      <w:r w:rsidRPr="002822D7">
        <w:t>In-line with the increase in Harrow’s births Harrow schools’ actual Reception numbers increased from 2,</w:t>
      </w:r>
      <w:r w:rsidR="004E7711" w:rsidRPr="002822D7">
        <w:t>224</w:t>
      </w:r>
      <w:r w:rsidRPr="002822D7">
        <w:t xml:space="preserve"> in 200</w:t>
      </w:r>
      <w:r w:rsidR="004E7711" w:rsidRPr="002822D7">
        <w:t>5</w:t>
      </w:r>
      <w:r w:rsidRPr="002822D7">
        <w:t>/0</w:t>
      </w:r>
      <w:r w:rsidR="004E7711" w:rsidRPr="002822D7">
        <w:t>6</w:t>
      </w:r>
      <w:r w:rsidRPr="002822D7">
        <w:t xml:space="preserve"> to 3,251 in 2014/15.  However, the numbers fell </w:t>
      </w:r>
      <w:r w:rsidR="00A10BD7" w:rsidRPr="002822D7">
        <w:t>in 2015</w:t>
      </w:r>
      <w:r w:rsidR="00516BFE" w:rsidRPr="002822D7">
        <w:t>/16</w:t>
      </w:r>
      <w:r w:rsidR="00A10BD7" w:rsidRPr="002822D7">
        <w:t xml:space="preserve"> to 3,19</w:t>
      </w:r>
      <w:r w:rsidR="00516BFE" w:rsidRPr="002822D7">
        <w:t>8</w:t>
      </w:r>
      <w:r w:rsidRPr="002822D7">
        <w:t xml:space="preserve"> </w:t>
      </w:r>
      <w:r w:rsidR="00A10BD7" w:rsidRPr="002822D7">
        <w:t>and then dropped again to 3,15</w:t>
      </w:r>
      <w:r w:rsidR="00516BFE" w:rsidRPr="002822D7">
        <w:t>2</w:t>
      </w:r>
      <w:r w:rsidRPr="002822D7">
        <w:t xml:space="preserve"> in </w:t>
      </w:r>
      <w:r w:rsidR="00516BFE" w:rsidRPr="002822D7">
        <w:t>2016/</w:t>
      </w:r>
      <w:r w:rsidRPr="002822D7">
        <w:t xml:space="preserve">17. </w:t>
      </w:r>
      <w:r w:rsidR="00B4019E" w:rsidRPr="002822D7">
        <w:t xml:space="preserve">Since </w:t>
      </w:r>
      <w:r w:rsidRPr="002822D7">
        <w:t>201</w:t>
      </w:r>
      <w:r w:rsidR="00516BFE" w:rsidRPr="002822D7">
        <w:t>7/1</w:t>
      </w:r>
      <w:r w:rsidRPr="002822D7">
        <w:t xml:space="preserve">8 </w:t>
      </w:r>
      <w:r w:rsidR="00A10BD7" w:rsidRPr="002822D7">
        <w:t xml:space="preserve">the reception number </w:t>
      </w:r>
      <w:r w:rsidR="00B4019E" w:rsidRPr="002822D7">
        <w:t xml:space="preserve">have fluctuated, </w:t>
      </w:r>
      <w:r w:rsidR="00A10BD7" w:rsidRPr="002822D7">
        <w:t>r</w:t>
      </w:r>
      <w:r w:rsidR="00B4019E" w:rsidRPr="002822D7">
        <w:t xml:space="preserve">ising </w:t>
      </w:r>
      <w:r w:rsidRPr="002822D7">
        <w:t>slightly to 3,1</w:t>
      </w:r>
      <w:r w:rsidR="00516BFE" w:rsidRPr="002822D7">
        <w:t>91</w:t>
      </w:r>
      <w:r w:rsidR="00A10BD7" w:rsidRPr="002822D7">
        <w:t xml:space="preserve"> but then dropped quite significantly to 3,044 in 201</w:t>
      </w:r>
      <w:r w:rsidR="00516BFE" w:rsidRPr="002822D7">
        <w:t>8/1</w:t>
      </w:r>
      <w:r w:rsidR="00A10BD7" w:rsidRPr="002822D7">
        <w:t>9</w:t>
      </w:r>
      <w:r w:rsidR="00B4019E" w:rsidRPr="002822D7">
        <w:t>.  The 202</w:t>
      </w:r>
      <w:r w:rsidR="00366FF5">
        <w:t>1</w:t>
      </w:r>
      <w:r w:rsidR="00B4019E" w:rsidRPr="002822D7">
        <w:t>/2</w:t>
      </w:r>
      <w:r w:rsidR="00366FF5">
        <w:t>2</w:t>
      </w:r>
      <w:r w:rsidR="00B4019E" w:rsidRPr="002822D7">
        <w:t xml:space="preserve"> </w:t>
      </w:r>
      <w:r w:rsidR="00B4019E" w:rsidRPr="002822D7">
        <w:lastRenderedPageBreak/>
        <w:t>Reception number on roll is 3,</w:t>
      </w:r>
      <w:r w:rsidR="00366FF5">
        <w:t>162</w:t>
      </w:r>
      <w:r w:rsidR="00B4019E" w:rsidRPr="002822D7">
        <w:t xml:space="preserve">.  </w:t>
      </w:r>
      <w:r w:rsidRPr="002822D7">
        <w:t xml:space="preserve">This </w:t>
      </w:r>
      <w:r w:rsidR="0032664C" w:rsidRPr="002822D7">
        <w:t xml:space="preserve">overall </w:t>
      </w:r>
      <w:r w:rsidRPr="002822D7">
        <w:t>decline i</w:t>
      </w:r>
      <w:r w:rsidR="0032664C" w:rsidRPr="002822D7">
        <w:t>n the actual numbers i</w:t>
      </w:r>
      <w:r w:rsidRPr="002822D7">
        <w:t xml:space="preserve">s reflected in </w:t>
      </w:r>
      <w:r w:rsidR="00AA1E3C">
        <w:t>the</w:t>
      </w:r>
      <w:r w:rsidR="006B2DD5" w:rsidRPr="002822D7">
        <w:t xml:space="preserve"> </w:t>
      </w:r>
      <w:r w:rsidR="00AA1E3C">
        <w:t>projected t</w:t>
      </w:r>
      <w:r w:rsidR="00FB7707" w:rsidRPr="002822D7">
        <w:t xml:space="preserve">rajectory </w:t>
      </w:r>
      <w:r w:rsidR="00AA1E3C">
        <w:t>shown in chart 7 below</w:t>
      </w:r>
      <w:r w:rsidRPr="002822D7">
        <w:t>.  Due to this change this report includes both the school roll projections as provided by the GLA (referred to as baseline) alongside our local adjustment of 2%.</w:t>
      </w:r>
    </w:p>
    <w:p w14:paraId="15B612D4" w14:textId="77777777" w:rsidR="00A16979" w:rsidRPr="002822D7" w:rsidRDefault="00A16979" w:rsidP="00A16979"/>
    <w:p w14:paraId="04FD142E" w14:textId="2FA54F2B" w:rsidR="00A16979" w:rsidRDefault="00A16979" w:rsidP="00A16979">
      <w:pPr>
        <w:pStyle w:val="FootnoteText"/>
        <w:keepNext/>
        <w:keepLines/>
        <w:rPr>
          <w:noProof/>
          <w:sz w:val="24"/>
          <w:szCs w:val="24"/>
          <w:lang w:eastAsia="en-GB"/>
        </w:rPr>
      </w:pPr>
      <w:r w:rsidRPr="002822D7">
        <w:rPr>
          <w:noProof/>
          <w:sz w:val="24"/>
          <w:szCs w:val="24"/>
          <w:lang w:eastAsia="en-GB"/>
        </w:rPr>
        <w:t xml:space="preserve">Chart </w:t>
      </w:r>
      <w:r w:rsidR="00C050C5" w:rsidRPr="002822D7">
        <w:rPr>
          <w:noProof/>
          <w:sz w:val="24"/>
          <w:szCs w:val="24"/>
          <w:lang w:eastAsia="en-GB"/>
        </w:rPr>
        <w:t>7</w:t>
      </w:r>
      <w:r w:rsidRPr="002822D7">
        <w:rPr>
          <w:noProof/>
          <w:sz w:val="24"/>
          <w:szCs w:val="24"/>
          <w:lang w:eastAsia="en-GB"/>
        </w:rPr>
        <w:t>: Harrow’s Actual &amp; Projected Reception Year Rolls</w:t>
      </w:r>
    </w:p>
    <w:p w14:paraId="73DAEFD9" w14:textId="3E7144F7" w:rsidR="00AD5DEE" w:rsidRPr="002822D7" w:rsidRDefault="00F54B34" w:rsidP="00A16979">
      <w:pPr>
        <w:pStyle w:val="FootnoteText"/>
        <w:keepNext/>
        <w:keepLines/>
        <w:rPr>
          <w:noProof/>
          <w:sz w:val="24"/>
          <w:szCs w:val="24"/>
          <w:lang w:eastAsia="en-GB"/>
        </w:rPr>
      </w:pPr>
      <w:r>
        <w:rPr>
          <w:noProof/>
          <w:sz w:val="24"/>
          <w:szCs w:val="24"/>
          <w:lang w:eastAsia="en-GB"/>
        </w:rPr>
        <w:drawing>
          <wp:inline distT="0" distB="0" distL="0" distR="0" wp14:anchorId="702E15A9" wp14:editId="02E8F7A6">
            <wp:extent cx="6480810" cy="28651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480810" cy="2865120"/>
                    </a:xfrm>
                    <a:prstGeom prst="rect">
                      <a:avLst/>
                    </a:prstGeom>
                    <a:noFill/>
                  </pic:spPr>
                </pic:pic>
              </a:graphicData>
            </a:graphic>
          </wp:inline>
        </w:drawing>
      </w:r>
    </w:p>
    <w:p w14:paraId="0A068A41" w14:textId="22DD141E" w:rsidR="00B670E5" w:rsidRPr="002822D7" w:rsidRDefault="00A16979" w:rsidP="00A16979">
      <w:pPr>
        <w:rPr>
          <w:sz w:val="20"/>
          <w:szCs w:val="20"/>
        </w:rPr>
      </w:pPr>
      <w:r w:rsidRPr="002822D7">
        <w:rPr>
          <w:sz w:val="20"/>
          <w:szCs w:val="20"/>
        </w:rPr>
        <w:t xml:space="preserve">Source: </w:t>
      </w:r>
      <w:r w:rsidR="0010361D">
        <w:rPr>
          <w:sz w:val="20"/>
          <w:szCs w:val="20"/>
        </w:rPr>
        <w:t xml:space="preserve">GLA </w:t>
      </w:r>
      <w:r w:rsidR="00EE2B9B" w:rsidRPr="00EE2B9B">
        <w:rPr>
          <w:sz w:val="20"/>
          <w:szCs w:val="20"/>
        </w:rPr>
        <w:t>SRP_borough_Spring2023_3_1_BPO202110-year_constrained_1805230626</w:t>
      </w:r>
    </w:p>
    <w:p w14:paraId="2ED66ECE" w14:textId="77777777" w:rsidR="00C3530C" w:rsidRPr="002822D7" w:rsidRDefault="00C3530C" w:rsidP="00A16979">
      <w:pPr>
        <w:rPr>
          <w:b/>
          <w:bCs/>
        </w:rPr>
      </w:pPr>
    </w:p>
    <w:p w14:paraId="6C5AE5C3" w14:textId="55D1AA9C" w:rsidR="00A16979" w:rsidRPr="00540E9A" w:rsidRDefault="00A16979" w:rsidP="00317713">
      <w:pPr>
        <w:rPr>
          <w:b/>
          <w:bCs/>
        </w:rPr>
      </w:pPr>
      <w:r w:rsidRPr="00540E9A">
        <w:rPr>
          <w:b/>
          <w:bCs/>
        </w:rPr>
        <w:t>Births to School Conversion</w:t>
      </w:r>
    </w:p>
    <w:p w14:paraId="44759A55" w14:textId="236819FF" w:rsidR="00A16979" w:rsidRPr="002822D7" w:rsidRDefault="00231FD8" w:rsidP="00A16979">
      <w:pPr>
        <w:rPr>
          <w:bCs/>
        </w:rPr>
      </w:pPr>
      <w:r w:rsidRPr="00540E9A">
        <w:rPr>
          <w:bCs/>
        </w:rPr>
        <w:t>Harrow’s birth to school pupil conversion rate has ranged from 89% in 2006/07 (representing 2,310 children in Reception in January 2007 from a total of 2,602 births in 2001/02) to 97% in 2014/15 (representing 3,251 children in Reception in January 2015 from a total of 3,344 births in 2009/10).  The conversion rate has fluctuated since then, dropping to 84% in 2021/22, however it increased to 87% in 2021/22 (representing 3,162 children in Reception in January 2022 from a total of 3,655 births in 2017/18).</w:t>
      </w:r>
      <w:r w:rsidRPr="00B7014C">
        <w:rPr>
          <w:bCs/>
        </w:rPr>
        <w:t xml:space="preserve"> </w:t>
      </w:r>
      <w:r w:rsidR="00A16979" w:rsidRPr="002822D7">
        <w:rPr>
          <w:bCs/>
        </w:rPr>
        <w:t xml:space="preserve"> </w:t>
      </w:r>
    </w:p>
    <w:p w14:paraId="6EAE9202" w14:textId="77777777" w:rsidR="00A16979" w:rsidRPr="002822D7" w:rsidRDefault="00A16979" w:rsidP="00A16979">
      <w:pPr>
        <w:rPr>
          <w:bCs/>
        </w:rPr>
      </w:pPr>
    </w:p>
    <w:p w14:paraId="3A243C7B" w14:textId="51DAD59A" w:rsidR="00A16979" w:rsidRPr="002822D7" w:rsidRDefault="00667AAC" w:rsidP="00A16979">
      <w:pPr>
        <w:rPr>
          <w:bCs/>
        </w:rPr>
      </w:pPr>
      <w:r w:rsidRPr="002822D7">
        <w:rPr>
          <w:bCs/>
        </w:rPr>
        <w:t xml:space="preserve">As can be seen by the latest data above the </w:t>
      </w:r>
      <w:r w:rsidR="00A16979" w:rsidRPr="002822D7">
        <w:rPr>
          <w:bCs/>
        </w:rPr>
        <w:t>increase</w:t>
      </w:r>
      <w:r w:rsidR="00F83A2D" w:rsidRPr="002822D7">
        <w:rPr>
          <w:bCs/>
        </w:rPr>
        <w:t>s</w:t>
      </w:r>
      <w:r w:rsidR="00A16979" w:rsidRPr="002822D7">
        <w:rPr>
          <w:bCs/>
        </w:rPr>
        <w:t xml:space="preserve"> in Harrow’s births ha</w:t>
      </w:r>
      <w:r w:rsidR="00F83A2D" w:rsidRPr="002822D7">
        <w:rPr>
          <w:bCs/>
        </w:rPr>
        <w:t>ve</w:t>
      </w:r>
      <w:r w:rsidR="00A16979" w:rsidRPr="002822D7">
        <w:rPr>
          <w:bCs/>
        </w:rPr>
        <w:t xml:space="preserve"> not inevitably translated into children accepting a place in Harrow’s schools Reception year group</w:t>
      </w:r>
      <w:r w:rsidRPr="002822D7">
        <w:rPr>
          <w:bCs/>
        </w:rPr>
        <w:t>.</w:t>
      </w:r>
      <w:r w:rsidR="00A16979" w:rsidRPr="002822D7">
        <w:rPr>
          <w:bCs/>
        </w:rPr>
        <w:t xml:space="preserve">  There are a range of variables that will affect the actual number of births converting into Harrow’s Reception school children, such as migration into and out of the borough, </w:t>
      </w:r>
      <w:r w:rsidR="00AD01A2" w:rsidRPr="002822D7">
        <w:rPr>
          <w:bCs/>
        </w:rPr>
        <w:t>migration out of the country especially of European Citizens returning to their country of origin</w:t>
      </w:r>
      <w:r w:rsidR="00D23F9B" w:rsidRPr="002822D7">
        <w:rPr>
          <w:bCs/>
        </w:rPr>
        <w:t xml:space="preserve"> (likely to be due to both Brexit and or the Covid-19 pandemic)</w:t>
      </w:r>
      <w:r w:rsidR="00AD01A2" w:rsidRPr="002822D7">
        <w:rPr>
          <w:bCs/>
        </w:rPr>
        <w:t>,</w:t>
      </w:r>
      <w:r w:rsidR="00A16979" w:rsidRPr="002822D7">
        <w:rPr>
          <w:bCs/>
        </w:rPr>
        <w:t xml:space="preserve">children living on the borders of Harrow could be attending neighbouring boroughs school’s (especially with new free school’s opening in Harrow’s neighbouring boroughs), or even selecting </w:t>
      </w:r>
      <w:r w:rsidRPr="002822D7">
        <w:rPr>
          <w:bCs/>
        </w:rPr>
        <w:t xml:space="preserve">a grammar or </w:t>
      </w:r>
      <w:r w:rsidR="00A16979" w:rsidRPr="002822D7">
        <w:rPr>
          <w:bCs/>
        </w:rPr>
        <w:t>an independent school.</w:t>
      </w:r>
    </w:p>
    <w:p w14:paraId="1B3107F0" w14:textId="77777777" w:rsidR="00A16979" w:rsidRPr="002822D7" w:rsidRDefault="00A16979" w:rsidP="00A16979">
      <w:pPr>
        <w:rPr>
          <w:bCs/>
        </w:rPr>
      </w:pPr>
    </w:p>
    <w:p w14:paraId="430A4014" w14:textId="2A26C264" w:rsidR="00A16979" w:rsidRPr="002822D7" w:rsidRDefault="00A16979" w:rsidP="00A16979">
      <w:pPr>
        <w:rPr>
          <w:bCs/>
        </w:rPr>
      </w:pPr>
      <w:r w:rsidRPr="002822D7">
        <w:rPr>
          <w:bCs/>
        </w:rPr>
        <w:t xml:space="preserve">Chart </w:t>
      </w:r>
      <w:r w:rsidR="00F83A2D" w:rsidRPr="002822D7">
        <w:rPr>
          <w:bCs/>
        </w:rPr>
        <w:t>9</w:t>
      </w:r>
      <w:r w:rsidRPr="002822D7">
        <w:rPr>
          <w:bCs/>
        </w:rPr>
        <w:t xml:space="preserve"> below shows Harrow’s 200</w:t>
      </w:r>
      <w:r w:rsidR="00130C26" w:rsidRPr="002822D7">
        <w:rPr>
          <w:bCs/>
        </w:rPr>
        <w:t>9/10</w:t>
      </w:r>
      <w:r w:rsidRPr="002822D7">
        <w:rPr>
          <w:bCs/>
        </w:rPr>
        <w:t xml:space="preserve"> to 201</w:t>
      </w:r>
      <w:r w:rsidR="002876D7" w:rsidRPr="002822D7">
        <w:rPr>
          <w:bCs/>
        </w:rPr>
        <w:t>9</w:t>
      </w:r>
      <w:r w:rsidRPr="002822D7">
        <w:rPr>
          <w:bCs/>
        </w:rPr>
        <w:t>/</w:t>
      </w:r>
      <w:r w:rsidR="002876D7" w:rsidRPr="002822D7">
        <w:rPr>
          <w:bCs/>
        </w:rPr>
        <w:t>20</w:t>
      </w:r>
      <w:r w:rsidRPr="002822D7">
        <w:rPr>
          <w:bCs/>
        </w:rPr>
        <w:t xml:space="preserve"> births to actual Reception numbers on roll conversion rate, which has been fluctuating, from 9</w:t>
      </w:r>
      <w:r w:rsidR="00751A98" w:rsidRPr="002822D7">
        <w:rPr>
          <w:bCs/>
        </w:rPr>
        <w:t>0</w:t>
      </w:r>
      <w:r w:rsidRPr="002822D7">
        <w:rPr>
          <w:bCs/>
        </w:rPr>
        <w:t>% in the academic year 200</w:t>
      </w:r>
      <w:r w:rsidR="00751A98" w:rsidRPr="002822D7">
        <w:rPr>
          <w:bCs/>
        </w:rPr>
        <w:t>9</w:t>
      </w:r>
      <w:r w:rsidRPr="002822D7">
        <w:rPr>
          <w:bCs/>
        </w:rPr>
        <w:t>/</w:t>
      </w:r>
      <w:r w:rsidR="00751A98" w:rsidRPr="002822D7">
        <w:rPr>
          <w:bCs/>
        </w:rPr>
        <w:t>1</w:t>
      </w:r>
      <w:r w:rsidRPr="002822D7">
        <w:rPr>
          <w:bCs/>
        </w:rPr>
        <w:t>0, peaking at 97% in 2014/15</w:t>
      </w:r>
      <w:r w:rsidR="00A6206F" w:rsidRPr="002822D7">
        <w:rPr>
          <w:bCs/>
        </w:rPr>
        <w:t>, falling to 85</w:t>
      </w:r>
      <w:r w:rsidRPr="002822D7">
        <w:rPr>
          <w:bCs/>
        </w:rPr>
        <w:t>% in 201</w:t>
      </w:r>
      <w:r w:rsidR="00A6206F" w:rsidRPr="002822D7">
        <w:rPr>
          <w:bCs/>
        </w:rPr>
        <w:t>8</w:t>
      </w:r>
      <w:r w:rsidRPr="002822D7">
        <w:rPr>
          <w:bCs/>
        </w:rPr>
        <w:t>/1</w:t>
      </w:r>
      <w:r w:rsidR="00A6206F" w:rsidRPr="002822D7">
        <w:rPr>
          <w:bCs/>
        </w:rPr>
        <w:t>9</w:t>
      </w:r>
      <w:r w:rsidR="002876D7" w:rsidRPr="002822D7">
        <w:rPr>
          <w:bCs/>
        </w:rPr>
        <w:t xml:space="preserve"> and increasing to 88% in 2019/20</w:t>
      </w:r>
      <w:r w:rsidR="00170725" w:rsidRPr="002822D7">
        <w:rPr>
          <w:bCs/>
        </w:rPr>
        <w:t xml:space="preserve"> and then falling again to </w:t>
      </w:r>
      <w:r w:rsidR="003021E8" w:rsidRPr="002822D7">
        <w:rPr>
          <w:bCs/>
        </w:rPr>
        <w:t xml:space="preserve">the lowest retention rate ever – 84% </w:t>
      </w:r>
      <w:r w:rsidR="00BD6635">
        <w:rPr>
          <w:bCs/>
        </w:rPr>
        <w:t xml:space="preserve">in </w:t>
      </w:r>
      <w:r w:rsidR="003021E8" w:rsidRPr="002822D7">
        <w:rPr>
          <w:bCs/>
        </w:rPr>
        <w:t>2020/21</w:t>
      </w:r>
      <w:r w:rsidR="00751A98" w:rsidRPr="002822D7">
        <w:rPr>
          <w:bCs/>
        </w:rPr>
        <w:t xml:space="preserve"> &amp; 2021/22</w:t>
      </w:r>
      <w:r w:rsidRPr="002822D7">
        <w:rPr>
          <w:bCs/>
        </w:rPr>
        <w:t xml:space="preserve">.  </w:t>
      </w:r>
      <w:r w:rsidR="00BD6635">
        <w:rPr>
          <w:bCs/>
        </w:rPr>
        <w:t xml:space="preserve">However, the latest retention rate in 2022/23 increased to 87%.  </w:t>
      </w:r>
      <w:r w:rsidR="00751A98" w:rsidRPr="002822D7">
        <w:rPr>
          <w:bCs/>
        </w:rPr>
        <w:t xml:space="preserve">The chart </w:t>
      </w:r>
      <w:r w:rsidRPr="002822D7">
        <w:rPr>
          <w:bCs/>
        </w:rPr>
        <w:t>also shows Harrow’s 20</w:t>
      </w:r>
      <w:r w:rsidR="005666F7" w:rsidRPr="002822D7">
        <w:rPr>
          <w:bCs/>
        </w:rPr>
        <w:t>2</w:t>
      </w:r>
      <w:r w:rsidR="00751A98" w:rsidRPr="002822D7">
        <w:rPr>
          <w:bCs/>
        </w:rPr>
        <w:t>2</w:t>
      </w:r>
      <w:r w:rsidR="005666F7" w:rsidRPr="002822D7">
        <w:rPr>
          <w:bCs/>
        </w:rPr>
        <w:t>/2</w:t>
      </w:r>
      <w:r w:rsidR="00751A98" w:rsidRPr="002822D7">
        <w:rPr>
          <w:bCs/>
        </w:rPr>
        <w:t>3</w:t>
      </w:r>
      <w:r w:rsidRPr="002822D7">
        <w:rPr>
          <w:bCs/>
        </w:rPr>
        <w:t xml:space="preserve"> to 203</w:t>
      </w:r>
      <w:r w:rsidR="00BD6635">
        <w:rPr>
          <w:bCs/>
        </w:rPr>
        <w:t>5</w:t>
      </w:r>
      <w:r w:rsidRPr="002822D7">
        <w:rPr>
          <w:bCs/>
        </w:rPr>
        <w:t>/3</w:t>
      </w:r>
      <w:r w:rsidR="00BD6635">
        <w:rPr>
          <w:bCs/>
        </w:rPr>
        <w:t>6</w:t>
      </w:r>
      <w:r w:rsidRPr="002822D7">
        <w:rPr>
          <w:bCs/>
        </w:rPr>
        <w:t xml:space="preserve"> projected conversion rate, which is </w:t>
      </w:r>
      <w:r w:rsidR="009135E6">
        <w:rPr>
          <w:bCs/>
        </w:rPr>
        <w:t>quite steady</w:t>
      </w:r>
      <w:r w:rsidRPr="002822D7">
        <w:rPr>
          <w:bCs/>
        </w:rPr>
        <w:t>, r</w:t>
      </w:r>
      <w:r w:rsidR="00A6206F" w:rsidRPr="002822D7">
        <w:rPr>
          <w:bCs/>
        </w:rPr>
        <w:t xml:space="preserve">anging </w:t>
      </w:r>
      <w:r w:rsidRPr="002822D7">
        <w:rPr>
          <w:bCs/>
        </w:rPr>
        <w:t>between 8</w:t>
      </w:r>
      <w:r w:rsidR="004B2BA9">
        <w:rPr>
          <w:bCs/>
        </w:rPr>
        <w:t>7</w:t>
      </w:r>
      <w:r w:rsidRPr="002822D7">
        <w:rPr>
          <w:bCs/>
        </w:rPr>
        <w:t xml:space="preserve">% and </w:t>
      </w:r>
      <w:r w:rsidR="00751A98" w:rsidRPr="002822D7">
        <w:rPr>
          <w:bCs/>
        </w:rPr>
        <w:t>8</w:t>
      </w:r>
      <w:r w:rsidR="004B2BA9">
        <w:rPr>
          <w:bCs/>
        </w:rPr>
        <w:t>9</w:t>
      </w:r>
      <w:r w:rsidRPr="002822D7">
        <w:rPr>
          <w:bCs/>
        </w:rPr>
        <w:t>%.</w:t>
      </w:r>
    </w:p>
    <w:p w14:paraId="77EAF986" w14:textId="77777777" w:rsidR="00122E51" w:rsidRPr="002822D7" w:rsidRDefault="00122E51" w:rsidP="00A16979">
      <w:pPr>
        <w:rPr>
          <w:bCs/>
        </w:rPr>
      </w:pPr>
    </w:p>
    <w:p w14:paraId="16863E3C" w14:textId="77777777" w:rsidR="008F1B9C" w:rsidRDefault="008F1B9C" w:rsidP="00A16979">
      <w:pPr>
        <w:rPr>
          <w:bCs/>
        </w:rPr>
      </w:pPr>
    </w:p>
    <w:p w14:paraId="3B733BAD" w14:textId="77777777" w:rsidR="008F1B9C" w:rsidRDefault="008F1B9C" w:rsidP="00A16979">
      <w:pPr>
        <w:rPr>
          <w:bCs/>
        </w:rPr>
      </w:pPr>
    </w:p>
    <w:p w14:paraId="7B5978C2" w14:textId="77777777" w:rsidR="008F1B9C" w:rsidRDefault="008F1B9C">
      <w:pPr>
        <w:rPr>
          <w:bCs/>
        </w:rPr>
      </w:pPr>
      <w:r>
        <w:rPr>
          <w:bCs/>
        </w:rPr>
        <w:br w:type="page"/>
      </w:r>
    </w:p>
    <w:p w14:paraId="604ACF62" w14:textId="4EC51F95" w:rsidR="00A16979" w:rsidRPr="002822D7" w:rsidRDefault="00D04760" w:rsidP="00A16979">
      <w:pPr>
        <w:rPr>
          <w:bCs/>
        </w:rPr>
      </w:pPr>
      <w:r w:rsidRPr="002822D7">
        <w:rPr>
          <w:bCs/>
        </w:rPr>
        <w:lastRenderedPageBreak/>
        <w:t>Chart 9</w:t>
      </w:r>
      <w:r w:rsidR="00A16979" w:rsidRPr="002822D7">
        <w:rPr>
          <w:bCs/>
        </w:rPr>
        <w:t xml:space="preserve"> - Conversion rate of Harrow births into </w:t>
      </w:r>
      <w:r w:rsidR="00A16979" w:rsidRPr="002822D7">
        <w:rPr>
          <w:b/>
          <w:bCs/>
        </w:rPr>
        <w:t>actual</w:t>
      </w:r>
      <w:r w:rsidR="00A16979" w:rsidRPr="002822D7">
        <w:rPr>
          <w:bCs/>
        </w:rPr>
        <w:t xml:space="preserve"> school Reception numbers on roll</w:t>
      </w:r>
    </w:p>
    <w:p w14:paraId="3102BB51" w14:textId="3865B6E0" w:rsidR="00A16979" w:rsidRPr="002822D7" w:rsidRDefault="007D11CC" w:rsidP="00A16979">
      <w:pPr>
        <w:rPr>
          <w:b/>
          <w:bCs/>
        </w:rPr>
      </w:pPr>
      <w:r>
        <w:rPr>
          <w:b/>
          <w:bCs/>
          <w:noProof/>
        </w:rPr>
        <w:drawing>
          <wp:inline distT="0" distB="0" distL="0" distR="0" wp14:anchorId="0B51F7B9" wp14:editId="555BA8C0">
            <wp:extent cx="6492875" cy="3060700"/>
            <wp:effectExtent l="0" t="0" r="3175"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492875" cy="3060700"/>
                    </a:xfrm>
                    <a:prstGeom prst="rect">
                      <a:avLst/>
                    </a:prstGeom>
                    <a:noFill/>
                  </pic:spPr>
                </pic:pic>
              </a:graphicData>
            </a:graphic>
          </wp:inline>
        </w:drawing>
      </w:r>
    </w:p>
    <w:p w14:paraId="6ED37945" w14:textId="77777777" w:rsidR="008F1B9C" w:rsidRPr="002822D7" w:rsidRDefault="008F1B9C" w:rsidP="008F1B9C">
      <w:pPr>
        <w:pStyle w:val="Header"/>
        <w:rPr>
          <w:sz w:val="18"/>
          <w:szCs w:val="18"/>
        </w:rPr>
      </w:pPr>
      <w:r w:rsidRPr="002822D7">
        <w:rPr>
          <w:sz w:val="20"/>
          <w:szCs w:val="20"/>
        </w:rPr>
        <w:t>Source: GLA Births Harrow</w:t>
      </w:r>
      <w:r>
        <w:rPr>
          <w:sz w:val="20"/>
          <w:szCs w:val="20"/>
        </w:rPr>
        <w:t xml:space="preserve"> 10 year constrained</w:t>
      </w:r>
    </w:p>
    <w:p w14:paraId="50D8EEA9" w14:textId="27A12045" w:rsidR="00A16979" w:rsidRPr="002822D7" w:rsidRDefault="00A16979" w:rsidP="00A16979">
      <w:pPr>
        <w:pStyle w:val="Header"/>
        <w:rPr>
          <w:sz w:val="18"/>
          <w:szCs w:val="18"/>
        </w:rPr>
      </w:pPr>
    </w:p>
    <w:p w14:paraId="2D48BA3D" w14:textId="77777777" w:rsidR="00A16979" w:rsidRPr="002822D7" w:rsidRDefault="00A16979" w:rsidP="00A16979">
      <w:pPr>
        <w:rPr>
          <w:bCs/>
        </w:rPr>
      </w:pPr>
    </w:p>
    <w:p w14:paraId="16A6EFF8" w14:textId="77777777" w:rsidR="00340B1D" w:rsidRPr="002822D7" w:rsidRDefault="00A16979" w:rsidP="00340B1D">
      <w:pPr>
        <w:rPr>
          <w:sz w:val="20"/>
          <w:szCs w:val="20"/>
        </w:rPr>
      </w:pPr>
      <w:r w:rsidRPr="002822D7">
        <w:rPr>
          <w:b/>
        </w:rPr>
        <w:br w:type="page"/>
      </w:r>
      <w:r w:rsidR="00340B1D" w:rsidRPr="002822D7">
        <w:rPr>
          <w:b/>
        </w:rPr>
        <w:lastRenderedPageBreak/>
        <w:t>Section 2:</w:t>
      </w:r>
      <w:r w:rsidR="00340B1D" w:rsidRPr="002822D7">
        <w:rPr>
          <w:b/>
        </w:rPr>
        <w:tab/>
        <w:t xml:space="preserve">Local Factors Influencing Harrow’s Pupil Projections </w:t>
      </w:r>
    </w:p>
    <w:p w14:paraId="1D50AB8D" w14:textId="77777777" w:rsidR="00340B1D" w:rsidRPr="002822D7" w:rsidRDefault="00340B1D" w:rsidP="00340B1D">
      <w:pPr>
        <w:pStyle w:val="Header"/>
        <w:tabs>
          <w:tab w:val="clear" w:pos="4320"/>
          <w:tab w:val="clear" w:pos="8640"/>
        </w:tabs>
        <w:rPr>
          <w:rFonts w:cs="Times New Roman"/>
          <w:b/>
        </w:rPr>
      </w:pPr>
    </w:p>
    <w:p w14:paraId="3AD20B60" w14:textId="77777777" w:rsidR="00340B1D" w:rsidRPr="002822D7" w:rsidRDefault="00340B1D" w:rsidP="00DE0CD0">
      <w:pPr>
        <w:pStyle w:val="Header"/>
        <w:tabs>
          <w:tab w:val="clear" w:pos="4320"/>
          <w:tab w:val="clear" w:pos="8640"/>
        </w:tabs>
        <w:rPr>
          <w:b/>
          <w:lang w:eastAsia="en-GB"/>
        </w:rPr>
      </w:pPr>
      <w:r w:rsidRPr="002822D7">
        <w:rPr>
          <w:b/>
          <w:lang w:eastAsia="en-GB"/>
        </w:rPr>
        <w:t>School Admissions Applications, Offers for Places and Take –Up</w:t>
      </w:r>
    </w:p>
    <w:p w14:paraId="270B42D6" w14:textId="77777777" w:rsidR="00340B1D" w:rsidRPr="002822D7" w:rsidRDefault="00340B1D" w:rsidP="00340B1D">
      <w:pPr>
        <w:pStyle w:val="Header"/>
        <w:tabs>
          <w:tab w:val="clear" w:pos="4320"/>
          <w:tab w:val="clear" w:pos="8640"/>
        </w:tabs>
        <w:rPr>
          <w:b/>
          <w:lang w:eastAsia="en-GB"/>
        </w:rPr>
      </w:pPr>
    </w:p>
    <w:p w14:paraId="760FC0DD" w14:textId="77777777" w:rsidR="00340B1D" w:rsidRPr="002822D7" w:rsidRDefault="00340B1D" w:rsidP="00340B1D">
      <w:r w:rsidRPr="002822D7">
        <w:t xml:space="preserve">Residents must apply to their home authority for a maintained school place, whether the school place is within the authority or out of borough. During the Admissions process, applications for a Harrow school from out borough residents are also considered and vice versa. Whilst residents do not apply for an independent school place via the Local Authority, they sometimes do let the authority know that they are sending their child to an independent school.  </w:t>
      </w:r>
    </w:p>
    <w:p w14:paraId="5566D62B" w14:textId="77777777" w:rsidR="00340B1D" w:rsidRPr="002822D7" w:rsidRDefault="00340B1D" w:rsidP="00340B1D">
      <w:pPr>
        <w:rPr>
          <w:lang w:eastAsia="en-GB"/>
        </w:rPr>
      </w:pPr>
    </w:p>
    <w:p w14:paraId="6533216F" w14:textId="77777777" w:rsidR="00340B1D" w:rsidRPr="002822D7" w:rsidRDefault="00340B1D" w:rsidP="00340B1D">
      <w:pPr>
        <w:rPr>
          <w:b/>
          <w:lang w:eastAsia="en-GB"/>
        </w:rPr>
      </w:pPr>
      <w:r w:rsidRPr="002822D7">
        <w:rPr>
          <w:b/>
          <w:lang w:eastAsia="en-GB"/>
        </w:rPr>
        <w:t>Reception in-take</w:t>
      </w:r>
    </w:p>
    <w:p w14:paraId="75969C27" w14:textId="07CB087C" w:rsidR="00340B1D" w:rsidRPr="002822D7" w:rsidRDefault="00E8241B" w:rsidP="00340B1D">
      <w:pPr>
        <w:rPr>
          <w:b/>
        </w:rPr>
      </w:pPr>
      <w:r w:rsidRPr="00AF4FC4">
        <w:rPr>
          <w:lang w:eastAsia="en-GB"/>
        </w:rPr>
        <w:t>The Admissions service experienced an increasing trend until 2014 in the number of on-time, late and in-year applications for Reception and all of the primary phase year groups.  Applications for Reception places have fluctuated since 2015</w:t>
      </w:r>
      <w:r w:rsidRPr="00AF4FC4">
        <w:rPr>
          <w:noProof/>
          <w:lang w:eastAsia="en-GB"/>
        </w:rPr>
        <w:t xml:space="preserve"> (please see </w:t>
      </w:r>
      <w:r w:rsidRPr="00BE7687">
        <w:rPr>
          <w:noProof/>
          <w:lang w:eastAsia="en-GB"/>
        </w:rPr>
        <w:t xml:space="preserve">Table </w:t>
      </w:r>
      <w:r w:rsidR="00BE7687" w:rsidRPr="00BE7687">
        <w:rPr>
          <w:noProof/>
          <w:lang w:eastAsia="en-GB"/>
        </w:rPr>
        <w:t>4</w:t>
      </w:r>
      <w:r w:rsidRPr="00AF4FC4">
        <w:rPr>
          <w:noProof/>
          <w:lang w:eastAsia="en-GB"/>
        </w:rPr>
        <w:t xml:space="preserve"> below)</w:t>
      </w:r>
      <w:r>
        <w:rPr>
          <w:noProof/>
          <w:lang w:eastAsia="en-GB"/>
        </w:rPr>
        <w:t>.</w:t>
      </w:r>
      <w:r w:rsidR="00340B1D" w:rsidRPr="002822D7">
        <w:rPr>
          <w:lang w:eastAsia="en-GB"/>
        </w:rPr>
        <w:t xml:space="preserve"> </w:t>
      </w:r>
    </w:p>
    <w:p w14:paraId="2DF17589" w14:textId="77777777" w:rsidR="00340B1D" w:rsidRPr="002822D7" w:rsidRDefault="00340B1D" w:rsidP="00340B1D">
      <w:pPr>
        <w:rPr>
          <w:b/>
        </w:rPr>
      </w:pPr>
    </w:p>
    <w:p w14:paraId="2336DBDE" w14:textId="77777777" w:rsidR="00340B1D" w:rsidRPr="002822D7" w:rsidRDefault="00340B1D" w:rsidP="00340B1D">
      <w:pPr>
        <w:rPr>
          <w:b/>
        </w:rPr>
      </w:pPr>
      <w:r w:rsidRPr="002822D7">
        <w:rPr>
          <w:b/>
        </w:rPr>
        <w:t>Harrow Residents</w:t>
      </w:r>
    </w:p>
    <w:p w14:paraId="0A9D97FD" w14:textId="0695FEFA" w:rsidR="00340B1D" w:rsidRPr="002822D7" w:rsidRDefault="004F466D" w:rsidP="00340B1D">
      <w:r w:rsidRPr="002822D7">
        <w:t xml:space="preserve">The </w:t>
      </w:r>
      <w:r w:rsidR="00340B1D" w:rsidRPr="002822D7">
        <w:t xml:space="preserve">Admissions </w:t>
      </w:r>
      <w:r w:rsidRPr="002822D7">
        <w:t xml:space="preserve">Service </w:t>
      </w:r>
      <w:r w:rsidR="00340B1D" w:rsidRPr="002822D7">
        <w:t>received 3,</w:t>
      </w:r>
      <w:r w:rsidR="004E4847">
        <w:t>092</w:t>
      </w:r>
      <w:r w:rsidR="00340B1D" w:rsidRPr="002822D7">
        <w:t xml:space="preserve"> applications (as </w:t>
      </w:r>
      <w:proofErr w:type="gramStart"/>
      <w:r w:rsidR="00340B1D" w:rsidRPr="002822D7">
        <w:t>at</w:t>
      </w:r>
      <w:proofErr w:type="gramEnd"/>
      <w:r w:rsidR="00340B1D" w:rsidRPr="002822D7">
        <w:t xml:space="preserve"> 1</w:t>
      </w:r>
      <w:r w:rsidR="004E4847">
        <w:t>0</w:t>
      </w:r>
      <w:r w:rsidR="00340B1D" w:rsidRPr="002822D7">
        <w:t xml:space="preserve"> </w:t>
      </w:r>
      <w:r w:rsidR="004E4847">
        <w:t xml:space="preserve">August </w:t>
      </w:r>
      <w:r w:rsidR="00383003" w:rsidRPr="002822D7">
        <w:t>202</w:t>
      </w:r>
      <w:r w:rsidR="004E4847">
        <w:t>3</w:t>
      </w:r>
      <w:r w:rsidR="00340B1D" w:rsidRPr="002822D7">
        <w:t xml:space="preserve">) </w:t>
      </w:r>
      <w:r w:rsidR="00340B1D" w:rsidRPr="002822D7">
        <w:rPr>
          <w:b/>
        </w:rPr>
        <w:t>from Harrow residents</w:t>
      </w:r>
      <w:r w:rsidR="00340B1D" w:rsidRPr="002822D7">
        <w:t xml:space="preserve"> for a September 2</w:t>
      </w:r>
      <w:r w:rsidR="00383003" w:rsidRPr="002822D7">
        <w:t>02</w:t>
      </w:r>
      <w:r w:rsidR="004E4847">
        <w:t>3</w:t>
      </w:r>
      <w:r w:rsidR="00340B1D" w:rsidRPr="002822D7">
        <w:t xml:space="preserve"> Reception year school place; this includes applications for Harrow schools, out of borough schools etc.  </w:t>
      </w:r>
    </w:p>
    <w:p w14:paraId="5ADC6B32" w14:textId="77777777" w:rsidR="00340B1D" w:rsidRPr="002822D7" w:rsidRDefault="00340B1D" w:rsidP="00340B1D"/>
    <w:p w14:paraId="55095666" w14:textId="77777777" w:rsidR="00340B1D" w:rsidRPr="002822D7" w:rsidRDefault="00340B1D" w:rsidP="00340B1D">
      <w:pPr>
        <w:rPr>
          <w:b/>
        </w:rPr>
      </w:pPr>
      <w:r w:rsidRPr="002822D7">
        <w:rPr>
          <w:b/>
        </w:rPr>
        <w:t>Applications and offers of Reception places</w:t>
      </w:r>
    </w:p>
    <w:p w14:paraId="62445CD9" w14:textId="1545D8F1" w:rsidR="00340B1D" w:rsidRPr="002822D7" w:rsidRDefault="00ED184F" w:rsidP="00340B1D">
      <w:r>
        <w:t xml:space="preserve">The </w:t>
      </w:r>
      <w:r w:rsidR="00340B1D" w:rsidRPr="002822D7">
        <w:t xml:space="preserve">Table </w:t>
      </w:r>
      <w:r w:rsidR="00BE7687">
        <w:t xml:space="preserve">4 </w:t>
      </w:r>
      <w:r w:rsidR="00340B1D" w:rsidRPr="002822D7">
        <w:t xml:space="preserve">below shows the total number of applications over the last few years.  This </w:t>
      </w:r>
      <w:r w:rsidR="00340B1D" w:rsidRPr="002822D7">
        <w:rPr>
          <w:lang w:eastAsia="en-GB"/>
        </w:rPr>
        <w:t xml:space="preserve">table also illustrates the difference between the number of offers made and the take up of places as measured by the DfE School Census in January.  The take-up rate </w:t>
      </w:r>
      <w:r w:rsidR="00C143AB" w:rsidRPr="002822D7">
        <w:rPr>
          <w:lang w:eastAsia="en-GB"/>
        </w:rPr>
        <w:t>has reverte</w:t>
      </w:r>
      <w:r w:rsidR="00101C60" w:rsidRPr="002822D7">
        <w:rPr>
          <w:lang w:eastAsia="en-GB"/>
        </w:rPr>
        <w:t xml:space="preserve">d back to previous years, falling slightly from last year’s rate </w:t>
      </w:r>
      <w:r w:rsidR="00340B1D" w:rsidRPr="002822D7">
        <w:rPr>
          <w:lang w:eastAsia="en-GB"/>
        </w:rPr>
        <w:t>and this will be monitored.</w:t>
      </w:r>
    </w:p>
    <w:p w14:paraId="73AAC9D8" w14:textId="77777777" w:rsidR="00340B1D" w:rsidRPr="002822D7" w:rsidRDefault="00340B1D" w:rsidP="00340B1D"/>
    <w:p w14:paraId="7A0E5B93" w14:textId="70658384" w:rsidR="00340B1D" w:rsidRPr="002822D7" w:rsidRDefault="00340B1D" w:rsidP="00340B1D">
      <w:r w:rsidRPr="002822D7">
        <w:t>Table</w:t>
      </w:r>
      <w:r w:rsidR="00C40020">
        <w:t xml:space="preserve"> 4</w:t>
      </w:r>
      <w:r w:rsidR="00ED184F">
        <w:t xml:space="preserve">: </w:t>
      </w:r>
      <w:r w:rsidRPr="002822D7">
        <w:t>Admissions Reception Entry Applications of Harrow residents</w:t>
      </w:r>
    </w:p>
    <w:tbl>
      <w:tblPr>
        <w:tblW w:w="8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0"/>
        <w:gridCol w:w="1146"/>
        <w:gridCol w:w="974"/>
        <w:gridCol w:w="1024"/>
        <w:gridCol w:w="1180"/>
        <w:gridCol w:w="1280"/>
        <w:gridCol w:w="1280"/>
        <w:gridCol w:w="1060"/>
      </w:tblGrid>
      <w:tr w:rsidR="00621FBB" w:rsidRPr="002822D7" w14:paraId="185B3A40" w14:textId="77777777" w:rsidTr="004F466D">
        <w:trPr>
          <w:trHeight w:val="1200"/>
        </w:trPr>
        <w:tc>
          <w:tcPr>
            <w:tcW w:w="1220" w:type="dxa"/>
            <w:vMerge w:val="restart"/>
            <w:shd w:val="clear" w:color="auto" w:fill="auto"/>
            <w:noWrap/>
            <w:vAlign w:val="center"/>
            <w:hideMark/>
          </w:tcPr>
          <w:p w14:paraId="53E751D8" w14:textId="77777777" w:rsidR="00621FBB" w:rsidRPr="002822D7" w:rsidRDefault="00621FBB" w:rsidP="00621FBB">
            <w:pPr>
              <w:jc w:val="center"/>
              <w:rPr>
                <w:b/>
                <w:bCs/>
                <w:color w:val="000000"/>
                <w:sz w:val="22"/>
                <w:szCs w:val="22"/>
                <w:lang w:eastAsia="en-GB"/>
              </w:rPr>
            </w:pPr>
            <w:r w:rsidRPr="002822D7">
              <w:rPr>
                <w:b/>
                <w:bCs/>
                <w:color w:val="000000"/>
                <w:sz w:val="22"/>
                <w:szCs w:val="22"/>
                <w:lang w:eastAsia="en-GB"/>
              </w:rPr>
              <w:t>Entry Year</w:t>
            </w:r>
          </w:p>
        </w:tc>
        <w:tc>
          <w:tcPr>
            <w:tcW w:w="1146" w:type="dxa"/>
            <w:shd w:val="clear" w:color="auto" w:fill="auto"/>
            <w:noWrap/>
            <w:vAlign w:val="center"/>
            <w:hideMark/>
          </w:tcPr>
          <w:p w14:paraId="6C3BBC3C" w14:textId="77777777" w:rsidR="00621FBB" w:rsidRPr="002822D7" w:rsidRDefault="00621FBB" w:rsidP="00621FBB">
            <w:pPr>
              <w:jc w:val="center"/>
              <w:rPr>
                <w:b/>
                <w:bCs/>
                <w:color w:val="000000"/>
                <w:sz w:val="22"/>
                <w:szCs w:val="22"/>
                <w:lang w:eastAsia="en-GB"/>
              </w:rPr>
            </w:pPr>
            <w:r w:rsidRPr="002822D7">
              <w:rPr>
                <w:b/>
                <w:bCs/>
                <w:color w:val="000000"/>
                <w:sz w:val="22"/>
                <w:szCs w:val="22"/>
                <w:lang w:eastAsia="en-GB"/>
              </w:rPr>
              <w:t>On-time</w:t>
            </w:r>
          </w:p>
        </w:tc>
        <w:tc>
          <w:tcPr>
            <w:tcW w:w="974" w:type="dxa"/>
            <w:shd w:val="clear" w:color="auto" w:fill="auto"/>
            <w:vAlign w:val="center"/>
            <w:hideMark/>
          </w:tcPr>
          <w:p w14:paraId="4AB131CC" w14:textId="77777777" w:rsidR="00621FBB" w:rsidRPr="002822D7" w:rsidRDefault="00621FBB" w:rsidP="00621FBB">
            <w:pPr>
              <w:jc w:val="center"/>
              <w:rPr>
                <w:b/>
                <w:bCs/>
                <w:color w:val="000000"/>
                <w:sz w:val="22"/>
                <w:szCs w:val="22"/>
                <w:lang w:eastAsia="en-GB"/>
              </w:rPr>
            </w:pPr>
            <w:r w:rsidRPr="002822D7">
              <w:rPr>
                <w:b/>
                <w:bCs/>
                <w:color w:val="000000"/>
                <w:sz w:val="22"/>
                <w:szCs w:val="22"/>
                <w:lang w:eastAsia="en-GB"/>
              </w:rPr>
              <w:t>Lates as at end of August</w:t>
            </w:r>
          </w:p>
        </w:tc>
        <w:tc>
          <w:tcPr>
            <w:tcW w:w="767" w:type="dxa"/>
            <w:vMerge w:val="restart"/>
            <w:shd w:val="clear" w:color="auto" w:fill="auto"/>
            <w:noWrap/>
            <w:vAlign w:val="center"/>
            <w:hideMark/>
          </w:tcPr>
          <w:p w14:paraId="0AD03D73" w14:textId="77777777" w:rsidR="00621FBB" w:rsidRPr="002822D7" w:rsidRDefault="00621FBB" w:rsidP="00621FBB">
            <w:pPr>
              <w:jc w:val="center"/>
              <w:rPr>
                <w:b/>
                <w:bCs/>
                <w:color w:val="000000"/>
                <w:sz w:val="22"/>
                <w:szCs w:val="22"/>
                <w:lang w:eastAsia="en-GB"/>
              </w:rPr>
            </w:pPr>
            <w:r w:rsidRPr="002822D7">
              <w:rPr>
                <w:b/>
                <w:bCs/>
                <w:color w:val="000000"/>
                <w:sz w:val="22"/>
                <w:szCs w:val="22"/>
                <w:lang w:eastAsia="en-GB"/>
              </w:rPr>
              <w:t>Total</w:t>
            </w:r>
          </w:p>
        </w:tc>
        <w:tc>
          <w:tcPr>
            <w:tcW w:w="1180" w:type="dxa"/>
            <w:shd w:val="clear" w:color="auto" w:fill="auto"/>
            <w:vAlign w:val="center"/>
            <w:hideMark/>
          </w:tcPr>
          <w:p w14:paraId="71D20C30" w14:textId="77777777" w:rsidR="00621FBB" w:rsidRPr="002822D7" w:rsidRDefault="00621FBB" w:rsidP="00621FBB">
            <w:pPr>
              <w:jc w:val="center"/>
              <w:rPr>
                <w:b/>
                <w:bCs/>
                <w:color w:val="000000"/>
                <w:sz w:val="22"/>
                <w:szCs w:val="22"/>
                <w:lang w:eastAsia="en-GB"/>
              </w:rPr>
            </w:pPr>
            <w:r w:rsidRPr="002822D7">
              <w:rPr>
                <w:b/>
                <w:bCs/>
                <w:color w:val="000000"/>
                <w:sz w:val="22"/>
                <w:szCs w:val="22"/>
                <w:lang w:eastAsia="en-GB"/>
              </w:rPr>
              <w:t>Increase</w:t>
            </w:r>
          </w:p>
        </w:tc>
        <w:tc>
          <w:tcPr>
            <w:tcW w:w="1280" w:type="dxa"/>
            <w:vMerge w:val="restart"/>
            <w:shd w:val="clear" w:color="auto" w:fill="auto"/>
            <w:vAlign w:val="center"/>
            <w:hideMark/>
          </w:tcPr>
          <w:p w14:paraId="222A7C1C" w14:textId="77777777" w:rsidR="00621FBB" w:rsidRPr="002822D7" w:rsidRDefault="00621FBB" w:rsidP="00621FBB">
            <w:pPr>
              <w:jc w:val="center"/>
              <w:rPr>
                <w:b/>
                <w:bCs/>
                <w:color w:val="000000"/>
                <w:sz w:val="22"/>
                <w:szCs w:val="22"/>
                <w:lang w:eastAsia="en-GB"/>
              </w:rPr>
            </w:pPr>
            <w:r w:rsidRPr="002822D7">
              <w:rPr>
                <w:b/>
                <w:bCs/>
                <w:color w:val="000000"/>
                <w:sz w:val="22"/>
                <w:szCs w:val="22"/>
                <w:lang w:eastAsia="en-GB"/>
              </w:rPr>
              <w:t>% Increase from previous year</w:t>
            </w:r>
          </w:p>
        </w:tc>
        <w:tc>
          <w:tcPr>
            <w:tcW w:w="1280" w:type="dxa"/>
            <w:shd w:val="clear" w:color="auto" w:fill="auto"/>
            <w:vAlign w:val="center"/>
            <w:hideMark/>
          </w:tcPr>
          <w:p w14:paraId="52E7FC96" w14:textId="77777777" w:rsidR="00621FBB" w:rsidRPr="002822D7" w:rsidRDefault="00621FBB" w:rsidP="00621FBB">
            <w:pPr>
              <w:jc w:val="center"/>
              <w:rPr>
                <w:b/>
                <w:bCs/>
                <w:color w:val="000000"/>
                <w:sz w:val="22"/>
                <w:szCs w:val="22"/>
                <w:lang w:eastAsia="en-GB"/>
              </w:rPr>
            </w:pPr>
            <w:r w:rsidRPr="002822D7">
              <w:rPr>
                <w:b/>
                <w:bCs/>
                <w:color w:val="000000"/>
                <w:sz w:val="22"/>
                <w:szCs w:val="22"/>
                <w:lang w:eastAsia="en-GB"/>
              </w:rPr>
              <w:t>January Census</w:t>
            </w:r>
          </w:p>
        </w:tc>
        <w:tc>
          <w:tcPr>
            <w:tcW w:w="1060" w:type="dxa"/>
            <w:vMerge w:val="restart"/>
            <w:shd w:val="clear" w:color="auto" w:fill="auto"/>
            <w:vAlign w:val="center"/>
            <w:hideMark/>
          </w:tcPr>
          <w:p w14:paraId="28D1EC19" w14:textId="77777777" w:rsidR="00621FBB" w:rsidRPr="002822D7" w:rsidRDefault="00621FBB" w:rsidP="00621FBB">
            <w:pPr>
              <w:jc w:val="center"/>
              <w:rPr>
                <w:b/>
                <w:bCs/>
                <w:color w:val="000000"/>
                <w:sz w:val="22"/>
                <w:szCs w:val="22"/>
                <w:lang w:eastAsia="en-GB"/>
              </w:rPr>
            </w:pPr>
            <w:r w:rsidRPr="002822D7">
              <w:rPr>
                <w:b/>
                <w:bCs/>
                <w:color w:val="000000"/>
                <w:sz w:val="22"/>
                <w:szCs w:val="22"/>
                <w:lang w:eastAsia="en-GB"/>
              </w:rPr>
              <w:t>January Take Up Rate</w:t>
            </w:r>
          </w:p>
        </w:tc>
      </w:tr>
      <w:tr w:rsidR="00621FBB" w:rsidRPr="002822D7" w14:paraId="08CA9E10" w14:textId="77777777" w:rsidTr="004F466D">
        <w:trPr>
          <w:trHeight w:val="600"/>
        </w:trPr>
        <w:tc>
          <w:tcPr>
            <w:tcW w:w="1220" w:type="dxa"/>
            <w:vMerge/>
            <w:vAlign w:val="center"/>
            <w:hideMark/>
          </w:tcPr>
          <w:p w14:paraId="7ED66171" w14:textId="77777777" w:rsidR="00621FBB" w:rsidRPr="002822D7" w:rsidRDefault="00621FBB" w:rsidP="00621FBB">
            <w:pPr>
              <w:rPr>
                <w:b/>
                <w:bCs/>
                <w:color w:val="000000"/>
                <w:sz w:val="22"/>
                <w:szCs w:val="22"/>
                <w:lang w:eastAsia="en-GB"/>
              </w:rPr>
            </w:pPr>
          </w:p>
        </w:tc>
        <w:tc>
          <w:tcPr>
            <w:tcW w:w="1146" w:type="dxa"/>
            <w:shd w:val="clear" w:color="auto" w:fill="auto"/>
            <w:noWrap/>
            <w:vAlign w:val="center"/>
            <w:hideMark/>
          </w:tcPr>
          <w:p w14:paraId="01653519" w14:textId="77777777" w:rsidR="00621FBB" w:rsidRPr="002822D7" w:rsidRDefault="00621FBB" w:rsidP="00621FBB">
            <w:pPr>
              <w:jc w:val="center"/>
              <w:rPr>
                <w:b/>
                <w:bCs/>
                <w:color w:val="000000"/>
                <w:sz w:val="22"/>
                <w:szCs w:val="22"/>
                <w:lang w:eastAsia="en-GB"/>
              </w:rPr>
            </w:pPr>
            <w:r w:rsidRPr="002822D7">
              <w:rPr>
                <w:b/>
                <w:bCs/>
                <w:color w:val="000000"/>
                <w:sz w:val="22"/>
                <w:szCs w:val="22"/>
                <w:lang w:eastAsia="en-GB"/>
              </w:rPr>
              <w:t>January*</w:t>
            </w:r>
          </w:p>
        </w:tc>
        <w:tc>
          <w:tcPr>
            <w:tcW w:w="974" w:type="dxa"/>
            <w:shd w:val="clear" w:color="auto" w:fill="auto"/>
            <w:vAlign w:val="center"/>
            <w:hideMark/>
          </w:tcPr>
          <w:p w14:paraId="22B2BC1A" w14:textId="77777777" w:rsidR="00621FBB" w:rsidRPr="002822D7" w:rsidRDefault="00621FBB" w:rsidP="00621FBB">
            <w:pPr>
              <w:jc w:val="center"/>
              <w:rPr>
                <w:b/>
                <w:bCs/>
                <w:color w:val="000000"/>
                <w:sz w:val="22"/>
                <w:szCs w:val="22"/>
                <w:lang w:eastAsia="en-GB"/>
              </w:rPr>
            </w:pPr>
            <w:r w:rsidRPr="002822D7">
              <w:rPr>
                <w:b/>
                <w:bCs/>
                <w:color w:val="000000"/>
                <w:sz w:val="22"/>
                <w:szCs w:val="22"/>
                <w:lang w:eastAsia="en-GB"/>
              </w:rPr>
              <w:t>**</w:t>
            </w:r>
          </w:p>
        </w:tc>
        <w:tc>
          <w:tcPr>
            <w:tcW w:w="767" w:type="dxa"/>
            <w:vMerge/>
            <w:vAlign w:val="center"/>
            <w:hideMark/>
          </w:tcPr>
          <w:p w14:paraId="3DE6F7E1" w14:textId="77777777" w:rsidR="00621FBB" w:rsidRPr="002822D7" w:rsidRDefault="00621FBB" w:rsidP="00621FBB">
            <w:pPr>
              <w:rPr>
                <w:b/>
                <w:bCs/>
                <w:color w:val="000000"/>
                <w:sz w:val="22"/>
                <w:szCs w:val="22"/>
                <w:lang w:eastAsia="en-GB"/>
              </w:rPr>
            </w:pPr>
          </w:p>
        </w:tc>
        <w:tc>
          <w:tcPr>
            <w:tcW w:w="1180" w:type="dxa"/>
            <w:shd w:val="clear" w:color="auto" w:fill="auto"/>
            <w:vAlign w:val="center"/>
            <w:hideMark/>
          </w:tcPr>
          <w:p w14:paraId="60C04E30" w14:textId="77777777" w:rsidR="00621FBB" w:rsidRPr="002822D7" w:rsidRDefault="00621FBB" w:rsidP="00621FBB">
            <w:pPr>
              <w:jc w:val="center"/>
              <w:rPr>
                <w:b/>
                <w:bCs/>
                <w:color w:val="000000"/>
                <w:sz w:val="22"/>
                <w:szCs w:val="22"/>
                <w:lang w:eastAsia="en-GB"/>
              </w:rPr>
            </w:pPr>
            <w:r w:rsidRPr="002822D7">
              <w:rPr>
                <w:b/>
                <w:bCs/>
                <w:color w:val="000000"/>
                <w:sz w:val="22"/>
                <w:szCs w:val="22"/>
                <w:lang w:eastAsia="en-GB"/>
              </w:rPr>
              <w:t>(Total)</w:t>
            </w:r>
          </w:p>
        </w:tc>
        <w:tc>
          <w:tcPr>
            <w:tcW w:w="1280" w:type="dxa"/>
            <w:vMerge/>
            <w:vAlign w:val="center"/>
            <w:hideMark/>
          </w:tcPr>
          <w:p w14:paraId="4C8468B2" w14:textId="77777777" w:rsidR="00621FBB" w:rsidRPr="002822D7" w:rsidRDefault="00621FBB" w:rsidP="00621FBB">
            <w:pPr>
              <w:rPr>
                <w:b/>
                <w:bCs/>
                <w:color w:val="000000"/>
                <w:sz w:val="22"/>
                <w:szCs w:val="22"/>
                <w:lang w:eastAsia="en-GB"/>
              </w:rPr>
            </w:pPr>
          </w:p>
        </w:tc>
        <w:tc>
          <w:tcPr>
            <w:tcW w:w="1280" w:type="dxa"/>
            <w:shd w:val="clear" w:color="auto" w:fill="auto"/>
            <w:vAlign w:val="center"/>
            <w:hideMark/>
          </w:tcPr>
          <w:p w14:paraId="0EB145AA" w14:textId="77777777" w:rsidR="00621FBB" w:rsidRPr="002822D7" w:rsidRDefault="00621FBB" w:rsidP="00621FBB">
            <w:pPr>
              <w:jc w:val="center"/>
              <w:rPr>
                <w:b/>
                <w:bCs/>
                <w:color w:val="000000"/>
                <w:sz w:val="22"/>
                <w:szCs w:val="22"/>
                <w:lang w:eastAsia="en-GB"/>
              </w:rPr>
            </w:pPr>
            <w:r w:rsidRPr="002822D7">
              <w:rPr>
                <w:b/>
                <w:bCs/>
                <w:color w:val="000000"/>
                <w:sz w:val="22"/>
                <w:szCs w:val="22"/>
                <w:lang w:eastAsia="en-GB"/>
              </w:rPr>
              <w:t>Reception</w:t>
            </w:r>
          </w:p>
        </w:tc>
        <w:tc>
          <w:tcPr>
            <w:tcW w:w="1060" w:type="dxa"/>
            <w:vMerge/>
            <w:vAlign w:val="center"/>
            <w:hideMark/>
          </w:tcPr>
          <w:p w14:paraId="41CA4BCC" w14:textId="77777777" w:rsidR="00621FBB" w:rsidRPr="002822D7" w:rsidRDefault="00621FBB" w:rsidP="00621FBB">
            <w:pPr>
              <w:rPr>
                <w:b/>
                <w:bCs/>
                <w:color w:val="000000"/>
                <w:sz w:val="22"/>
                <w:szCs w:val="22"/>
                <w:lang w:eastAsia="en-GB"/>
              </w:rPr>
            </w:pPr>
          </w:p>
        </w:tc>
      </w:tr>
      <w:tr w:rsidR="00621FBB" w:rsidRPr="002822D7" w14:paraId="6097B38E" w14:textId="77777777" w:rsidTr="004F466D">
        <w:trPr>
          <w:trHeight w:val="300"/>
        </w:trPr>
        <w:tc>
          <w:tcPr>
            <w:tcW w:w="1220" w:type="dxa"/>
            <w:shd w:val="clear" w:color="auto" w:fill="auto"/>
            <w:noWrap/>
            <w:vAlign w:val="center"/>
            <w:hideMark/>
          </w:tcPr>
          <w:p w14:paraId="601E9431" w14:textId="77777777" w:rsidR="00621FBB" w:rsidRPr="002822D7" w:rsidRDefault="00621FBB" w:rsidP="00621FBB">
            <w:pPr>
              <w:jc w:val="center"/>
              <w:rPr>
                <w:color w:val="000000"/>
                <w:sz w:val="22"/>
                <w:szCs w:val="22"/>
                <w:lang w:eastAsia="en-GB"/>
              </w:rPr>
            </w:pPr>
            <w:r w:rsidRPr="002822D7">
              <w:rPr>
                <w:color w:val="000000"/>
                <w:sz w:val="22"/>
                <w:szCs w:val="22"/>
                <w:lang w:eastAsia="en-GB"/>
              </w:rPr>
              <w:t>Sep-12</w:t>
            </w:r>
          </w:p>
        </w:tc>
        <w:tc>
          <w:tcPr>
            <w:tcW w:w="1146" w:type="dxa"/>
            <w:shd w:val="clear" w:color="auto" w:fill="auto"/>
            <w:noWrap/>
            <w:vAlign w:val="center"/>
            <w:hideMark/>
          </w:tcPr>
          <w:p w14:paraId="1028077A" w14:textId="77777777" w:rsidR="00621FBB" w:rsidRPr="002822D7" w:rsidRDefault="00621FBB" w:rsidP="00621FBB">
            <w:pPr>
              <w:jc w:val="center"/>
              <w:rPr>
                <w:color w:val="000000"/>
                <w:sz w:val="22"/>
                <w:szCs w:val="22"/>
                <w:lang w:eastAsia="en-GB"/>
              </w:rPr>
            </w:pPr>
            <w:r w:rsidRPr="002822D7">
              <w:rPr>
                <w:color w:val="000000"/>
                <w:sz w:val="22"/>
                <w:szCs w:val="22"/>
                <w:lang w:eastAsia="en-GB"/>
              </w:rPr>
              <w:t>2,796</w:t>
            </w:r>
          </w:p>
        </w:tc>
        <w:tc>
          <w:tcPr>
            <w:tcW w:w="974" w:type="dxa"/>
            <w:shd w:val="clear" w:color="auto" w:fill="auto"/>
            <w:noWrap/>
            <w:vAlign w:val="center"/>
            <w:hideMark/>
          </w:tcPr>
          <w:p w14:paraId="6AB38778" w14:textId="77777777" w:rsidR="00621FBB" w:rsidRPr="002822D7" w:rsidRDefault="00621FBB" w:rsidP="00621FBB">
            <w:pPr>
              <w:jc w:val="center"/>
              <w:rPr>
                <w:color w:val="000000"/>
                <w:sz w:val="22"/>
                <w:szCs w:val="22"/>
                <w:lang w:eastAsia="en-GB"/>
              </w:rPr>
            </w:pPr>
            <w:r w:rsidRPr="002822D7">
              <w:rPr>
                <w:color w:val="000000"/>
                <w:sz w:val="22"/>
                <w:szCs w:val="22"/>
                <w:lang w:eastAsia="en-GB"/>
              </w:rPr>
              <w:t>318</w:t>
            </w:r>
          </w:p>
        </w:tc>
        <w:tc>
          <w:tcPr>
            <w:tcW w:w="767" w:type="dxa"/>
            <w:shd w:val="clear" w:color="auto" w:fill="auto"/>
            <w:noWrap/>
            <w:vAlign w:val="center"/>
            <w:hideMark/>
          </w:tcPr>
          <w:p w14:paraId="0460F09F" w14:textId="77777777" w:rsidR="00621FBB" w:rsidRPr="002822D7" w:rsidRDefault="00621FBB" w:rsidP="00621FBB">
            <w:pPr>
              <w:jc w:val="center"/>
              <w:rPr>
                <w:color w:val="000000"/>
                <w:sz w:val="22"/>
                <w:szCs w:val="22"/>
                <w:lang w:eastAsia="en-GB"/>
              </w:rPr>
            </w:pPr>
            <w:r w:rsidRPr="002822D7">
              <w:rPr>
                <w:color w:val="000000"/>
                <w:sz w:val="22"/>
                <w:szCs w:val="22"/>
                <w:lang w:eastAsia="en-GB"/>
              </w:rPr>
              <w:t>3,114</w:t>
            </w:r>
          </w:p>
        </w:tc>
        <w:tc>
          <w:tcPr>
            <w:tcW w:w="1180" w:type="dxa"/>
            <w:shd w:val="clear" w:color="auto" w:fill="auto"/>
            <w:noWrap/>
            <w:vAlign w:val="center"/>
            <w:hideMark/>
          </w:tcPr>
          <w:p w14:paraId="15FBB811" w14:textId="77777777" w:rsidR="00621FBB" w:rsidRPr="002822D7" w:rsidRDefault="00621FBB" w:rsidP="00621FBB">
            <w:pPr>
              <w:jc w:val="center"/>
              <w:rPr>
                <w:color w:val="000000"/>
                <w:sz w:val="22"/>
                <w:szCs w:val="22"/>
                <w:lang w:eastAsia="en-GB"/>
              </w:rPr>
            </w:pPr>
            <w:r w:rsidRPr="002822D7">
              <w:rPr>
                <w:color w:val="000000"/>
                <w:sz w:val="22"/>
                <w:szCs w:val="22"/>
                <w:lang w:eastAsia="en-GB"/>
              </w:rPr>
              <w:t>-</w:t>
            </w:r>
          </w:p>
        </w:tc>
        <w:tc>
          <w:tcPr>
            <w:tcW w:w="1280" w:type="dxa"/>
            <w:shd w:val="clear" w:color="auto" w:fill="auto"/>
            <w:noWrap/>
            <w:vAlign w:val="center"/>
            <w:hideMark/>
          </w:tcPr>
          <w:p w14:paraId="74D10F68" w14:textId="77777777" w:rsidR="00621FBB" w:rsidRPr="002822D7" w:rsidRDefault="00621FBB" w:rsidP="00621FBB">
            <w:pPr>
              <w:jc w:val="center"/>
              <w:rPr>
                <w:color w:val="000000"/>
                <w:sz w:val="22"/>
                <w:szCs w:val="22"/>
                <w:lang w:eastAsia="en-GB"/>
              </w:rPr>
            </w:pPr>
            <w:r w:rsidRPr="002822D7">
              <w:rPr>
                <w:color w:val="000000"/>
                <w:sz w:val="22"/>
                <w:szCs w:val="22"/>
                <w:lang w:eastAsia="en-GB"/>
              </w:rPr>
              <w:t>-</w:t>
            </w:r>
          </w:p>
        </w:tc>
        <w:tc>
          <w:tcPr>
            <w:tcW w:w="1280" w:type="dxa"/>
            <w:shd w:val="clear" w:color="auto" w:fill="auto"/>
            <w:noWrap/>
            <w:vAlign w:val="center"/>
            <w:hideMark/>
          </w:tcPr>
          <w:p w14:paraId="13490192" w14:textId="77777777" w:rsidR="00621FBB" w:rsidRPr="002822D7" w:rsidRDefault="00621FBB" w:rsidP="00621FBB">
            <w:pPr>
              <w:jc w:val="center"/>
              <w:rPr>
                <w:color w:val="000000"/>
                <w:sz w:val="22"/>
                <w:szCs w:val="22"/>
                <w:lang w:eastAsia="en-GB"/>
              </w:rPr>
            </w:pPr>
            <w:r w:rsidRPr="002822D7">
              <w:rPr>
                <w:color w:val="000000"/>
                <w:sz w:val="22"/>
                <w:szCs w:val="22"/>
                <w:lang w:eastAsia="en-GB"/>
              </w:rPr>
              <w:t>2,879</w:t>
            </w:r>
          </w:p>
        </w:tc>
        <w:tc>
          <w:tcPr>
            <w:tcW w:w="1060" w:type="dxa"/>
            <w:shd w:val="clear" w:color="auto" w:fill="auto"/>
            <w:noWrap/>
            <w:vAlign w:val="center"/>
            <w:hideMark/>
          </w:tcPr>
          <w:p w14:paraId="72CDEA05" w14:textId="77777777" w:rsidR="00621FBB" w:rsidRPr="002822D7" w:rsidRDefault="00621FBB" w:rsidP="00621FBB">
            <w:pPr>
              <w:jc w:val="center"/>
              <w:rPr>
                <w:color w:val="000000"/>
                <w:sz w:val="22"/>
                <w:szCs w:val="22"/>
                <w:lang w:eastAsia="en-GB"/>
              </w:rPr>
            </w:pPr>
            <w:r w:rsidRPr="002822D7">
              <w:rPr>
                <w:color w:val="000000"/>
                <w:sz w:val="22"/>
                <w:szCs w:val="22"/>
                <w:lang w:eastAsia="en-GB"/>
              </w:rPr>
              <w:t>92.5%</w:t>
            </w:r>
          </w:p>
        </w:tc>
      </w:tr>
      <w:tr w:rsidR="00621FBB" w:rsidRPr="002822D7" w14:paraId="5ACCEFDD" w14:textId="77777777" w:rsidTr="004F466D">
        <w:trPr>
          <w:trHeight w:val="300"/>
        </w:trPr>
        <w:tc>
          <w:tcPr>
            <w:tcW w:w="1220" w:type="dxa"/>
            <w:shd w:val="clear" w:color="auto" w:fill="auto"/>
            <w:noWrap/>
            <w:vAlign w:val="center"/>
            <w:hideMark/>
          </w:tcPr>
          <w:p w14:paraId="36D04499" w14:textId="77777777" w:rsidR="00621FBB" w:rsidRPr="002822D7" w:rsidRDefault="00621FBB" w:rsidP="00621FBB">
            <w:pPr>
              <w:jc w:val="center"/>
              <w:rPr>
                <w:color w:val="000000"/>
                <w:sz w:val="22"/>
                <w:szCs w:val="22"/>
                <w:lang w:eastAsia="en-GB"/>
              </w:rPr>
            </w:pPr>
            <w:r w:rsidRPr="002822D7">
              <w:rPr>
                <w:color w:val="000000"/>
                <w:sz w:val="22"/>
                <w:szCs w:val="22"/>
                <w:lang w:eastAsia="en-GB"/>
              </w:rPr>
              <w:t>Sep-13</w:t>
            </w:r>
          </w:p>
        </w:tc>
        <w:tc>
          <w:tcPr>
            <w:tcW w:w="1146" w:type="dxa"/>
            <w:shd w:val="clear" w:color="auto" w:fill="auto"/>
            <w:noWrap/>
            <w:vAlign w:val="center"/>
            <w:hideMark/>
          </w:tcPr>
          <w:p w14:paraId="6EE47EA4" w14:textId="77777777" w:rsidR="00621FBB" w:rsidRPr="002822D7" w:rsidRDefault="00621FBB" w:rsidP="00621FBB">
            <w:pPr>
              <w:jc w:val="center"/>
              <w:rPr>
                <w:color w:val="000000"/>
                <w:sz w:val="22"/>
                <w:szCs w:val="22"/>
                <w:lang w:eastAsia="en-GB"/>
              </w:rPr>
            </w:pPr>
            <w:r w:rsidRPr="002822D7">
              <w:rPr>
                <w:color w:val="000000"/>
                <w:sz w:val="22"/>
                <w:szCs w:val="22"/>
                <w:lang w:eastAsia="en-GB"/>
              </w:rPr>
              <w:t>2,991</w:t>
            </w:r>
          </w:p>
        </w:tc>
        <w:tc>
          <w:tcPr>
            <w:tcW w:w="974" w:type="dxa"/>
            <w:shd w:val="clear" w:color="auto" w:fill="auto"/>
            <w:noWrap/>
            <w:vAlign w:val="center"/>
            <w:hideMark/>
          </w:tcPr>
          <w:p w14:paraId="4EDB4A58" w14:textId="77777777" w:rsidR="00621FBB" w:rsidRPr="002822D7" w:rsidRDefault="00621FBB" w:rsidP="00621FBB">
            <w:pPr>
              <w:jc w:val="center"/>
              <w:rPr>
                <w:color w:val="000000"/>
                <w:sz w:val="22"/>
                <w:szCs w:val="22"/>
                <w:lang w:eastAsia="en-GB"/>
              </w:rPr>
            </w:pPr>
            <w:r w:rsidRPr="002822D7">
              <w:rPr>
                <w:color w:val="000000"/>
                <w:sz w:val="22"/>
                <w:szCs w:val="22"/>
                <w:lang w:eastAsia="en-GB"/>
              </w:rPr>
              <w:t>330</w:t>
            </w:r>
          </w:p>
        </w:tc>
        <w:tc>
          <w:tcPr>
            <w:tcW w:w="767" w:type="dxa"/>
            <w:shd w:val="clear" w:color="auto" w:fill="auto"/>
            <w:noWrap/>
            <w:vAlign w:val="center"/>
            <w:hideMark/>
          </w:tcPr>
          <w:p w14:paraId="4DBFFA0B" w14:textId="77777777" w:rsidR="00621FBB" w:rsidRPr="002822D7" w:rsidRDefault="00621FBB" w:rsidP="00621FBB">
            <w:pPr>
              <w:jc w:val="center"/>
              <w:rPr>
                <w:color w:val="000000"/>
                <w:sz w:val="22"/>
                <w:szCs w:val="22"/>
                <w:lang w:eastAsia="en-GB"/>
              </w:rPr>
            </w:pPr>
            <w:r w:rsidRPr="002822D7">
              <w:rPr>
                <w:color w:val="000000"/>
                <w:sz w:val="22"/>
                <w:szCs w:val="22"/>
                <w:lang w:eastAsia="en-GB"/>
              </w:rPr>
              <w:t>3,321</w:t>
            </w:r>
          </w:p>
        </w:tc>
        <w:tc>
          <w:tcPr>
            <w:tcW w:w="1180" w:type="dxa"/>
            <w:shd w:val="clear" w:color="auto" w:fill="auto"/>
            <w:noWrap/>
            <w:vAlign w:val="center"/>
            <w:hideMark/>
          </w:tcPr>
          <w:p w14:paraId="58E85D4C" w14:textId="77777777" w:rsidR="00621FBB" w:rsidRPr="002822D7" w:rsidRDefault="00621FBB" w:rsidP="00621FBB">
            <w:pPr>
              <w:jc w:val="center"/>
              <w:rPr>
                <w:color w:val="000000"/>
                <w:sz w:val="22"/>
                <w:szCs w:val="22"/>
                <w:lang w:eastAsia="en-GB"/>
              </w:rPr>
            </w:pPr>
            <w:r w:rsidRPr="002822D7">
              <w:rPr>
                <w:color w:val="000000"/>
                <w:sz w:val="22"/>
                <w:szCs w:val="22"/>
                <w:lang w:eastAsia="en-GB"/>
              </w:rPr>
              <w:t>207</w:t>
            </w:r>
          </w:p>
        </w:tc>
        <w:tc>
          <w:tcPr>
            <w:tcW w:w="1280" w:type="dxa"/>
            <w:shd w:val="clear" w:color="auto" w:fill="auto"/>
            <w:noWrap/>
            <w:vAlign w:val="center"/>
            <w:hideMark/>
          </w:tcPr>
          <w:p w14:paraId="65501CA0" w14:textId="77777777" w:rsidR="00621FBB" w:rsidRPr="002822D7" w:rsidRDefault="00621FBB" w:rsidP="00621FBB">
            <w:pPr>
              <w:jc w:val="center"/>
              <w:rPr>
                <w:color w:val="000000"/>
                <w:sz w:val="22"/>
                <w:szCs w:val="22"/>
                <w:lang w:eastAsia="en-GB"/>
              </w:rPr>
            </w:pPr>
            <w:r w:rsidRPr="002822D7">
              <w:rPr>
                <w:color w:val="000000"/>
                <w:sz w:val="22"/>
                <w:szCs w:val="22"/>
                <w:lang w:eastAsia="en-GB"/>
              </w:rPr>
              <w:t>6.65%</w:t>
            </w:r>
          </w:p>
        </w:tc>
        <w:tc>
          <w:tcPr>
            <w:tcW w:w="1280" w:type="dxa"/>
            <w:shd w:val="clear" w:color="auto" w:fill="auto"/>
            <w:noWrap/>
            <w:vAlign w:val="center"/>
            <w:hideMark/>
          </w:tcPr>
          <w:p w14:paraId="4D67152B" w14:textId="77777777" w:rsidR="00621FBB" w:rsidRPr="002822D7" w:rsidRDefault="00621FBB" w:rsidP="00621FBB">
            <w:pPr>
              <w:jc w:val="center"/>
              <w:rPr>
                <w:color w:val="000000"/>
                <w:sz w:val="22"/>
                <w:szCs w:val="22"/>
                <w:lang w:eastAsia="en-GB"/>
              </w:rPr>
            </w:pPr>
            <w:r w:rsidRPr="002822D7">
              <w:rPr>
                <w:color w:val="000000"/>
                <w:sz w:val="22"/>
                <w:szCs w:val="22"/>
                <w:lang w:eastAsia="en-GB"/>
              </w:rPr>
              <w:t>3,029</w:t>
            </w:r>
          </w:p>
        </w:tc>
        <w:tc>
          <w:tcPr>
            <w:tcW w:w="1060" w:type="dxa"/>
            <w:shd w:val="clear" w:color="auto" w:fill="auto"/>
            <w:noWrap/>
            <w:vAlign w:val="center"/>
            <w:hideMark/>
          </w:tcPr>
          <w:p w14:paraId="06A3F3CF" w14:textId="77777777" w:rsidR="00621FBB" w:rsidRPr="002822D7" w:rsidRDefault="00621FBB" w:rsidP="00621FBB">
            <w:pPr>
              <w:jc w:val="center"/>
              <w:rPr>
                <w:color w:val="000000"/>
                <w:sz w:val="22"/>
                <w:szCs w:val="22"/>
                <w:lang w:eastAsia="en-GB"/>
              </w:rPr>
            </w:pPr>
            <w:r w:rsidRPr="002822D7">
              <w:rPr>
                <w:color w:val="000000"/>
                <w:sz w:val="22"/>
                <w:szCs w:val="22"/>
                <w:lang w:eastAsia="en-GB"/>
              </w:rPr>
              <w:t>91.2%</w:t>
            </w:r>
          </w:p>
        </w:tc>
      </w:tr>
      <w:tr w:rsidR="00621FBB" w:rsidRPr="002822D7" w14:paraId="43AD981D" w14:textId="77777777" w:rsidTr="004F466D">
        <w:trPr>
          <w:trHeight w:val="300"/>
        </w:trPr>
        <w:tc>
          <w:tcPr>
            <w:tcW w:w="1220" w:type="dxa"/>
            <w:shd w:val="clear" w:color="auto" w:fill="auto"/>
            <w:noWrap/>
            <w:vAlign w:val="center"/>
            <w:hideMark/>
          </w:tcPr>
          <w:p w14:paraId="031ADCD0" w14:textId="77777777" w:rsidR="00621FBB" w:rsidRPr="002822D7" w:rsidRDefault="00621FBB" w:rsidP="00621FBB">
            <w:pPr>
              <w:jc w:val="center"/>
              <w:rPr>
                <w:color w:val="000000"/>
                <w:sz w:val="22"/>
                <w:szCs w:val="22"/>
                <w:lang w:eastAsia="en-GB"/>
              </w:rPr>
            </w:pPr>
            <w:r w:rsidRPr="002822D7">
              <w:rPr>
                <w:color w:val="000000"/>
                <w:sz w:val="22"/>
                <w:szCs w:val="22"/>
                <w:lang w:eastAsia="en-GB"/>
              </w:rPr>
              <w:t>Sep-14</w:t>
            </w:r>
          </w:p>
        </w:tc>
        <w:tc>
          <w:tcPr>
            <w:tcW w:w="1146" w:type="dxa"/>
            <w:shd w:val="clear" w:color="auto" w:fill="auto"/>
            <w:noWrap/>
            <w:vAlign w:val="center"/>
            <w:hideMark/>
          </w:tcPr>
          <w:p w14:paraId="3895BDC7" w14:textId="77777777" w:rsidR="00621FBB" w:rsidRPr="002822D7" w:rsidRDefault="00621FBB" w:rsidP="00621FBB">
            <w:pPr>
              <w:jc w:val="center"/>
              <w:rPr>
                <w:color w:val="000000"/>
                <w:sz w:val="22"/>
                <w:szCs w:val="22"/>
                <w:lang w:eastAsia="en-GB"/>
              </w:rPr>
            </w:pPr>
            <w:r w:rsidRPr="002822D7">
              <w:rPr>
                <w:color w:val="000000"/>
                <w:sz w:val="22"/>
                <w:szCs w:val="22"/>
                <w:lang w:eastAsia="en-GB"/>
              </w:rPr>
              <w:t>3,210</w:t>
            </w:r>
          </w:p>
        </w:tc>
        <w:tc>
          <w:tcPr>
            <w:tcW w:w="974" w:type="dxa"/>
            <w:shd w:val="clear" w:color="auto" w:fill="auto"/>
            <w:noWrap/>
            <w:vAlign w:val="center"/>
            <w:hideMark/>
          </w:tcPr>
          <w:p w14:paraId="639E4732" w14:textId="77777777" w:rsidR="00621FBB" w:rsidRPr="002822D7" w:rsidRDefault="00621FBB" w:rsidP="00621FBB">
            <w:pPr>
              <w:jc w:val="center"/>
              <w:rPr>
                <w:color w:val="000000"/>
                <w:sz w:val="22"/>
                <w:szCs w:val="22"/>
                <w:lang w:eastAsia="en-GB"/>
              </w:rPr>
            </w:pPr>
            <w:r w:rsidRPr="002822D7">
              <w:rPr>
                <w:color w:val="000000"/>
                <w:sz w:val="22"/>
                <w:szCs w:val="22"/>
                <w:lang w:eastAsia="en-GB"/>
              </w:rPr>
              <w:t>238</w:t>
            </w:r>
          </w:p>
        </w:tc>
        <w:tc>
          <w:tcPr>
            <w:tcW w:w="767" w:type="dxa"/>
            <w:shd w:val="clear" w:color="auto" w:fill="auto"/>
            <w:noWrap/>
            <w:vAlign w:val="center"/>
            <w:hideMark/>
          </w:tcPr>
          <w:p w14:paraId="4A1E3A15" w14:textId="77777777" w:rsidR="00621FBB" w:rsidRPr="002822D7" w:rsidRDefault="00621FBB" w:rsidP="00621FBB">
            <w:pPr>
              <w:jc w:val="center"/>
              <w:rPr>
                <w:color w:val="000000"/>
                <w:sz w:val="22"/>
                <w:szCs w:val="22"/>
                <w:lang w:eastAsia="en-GB"/>
              </w:rPr>
            </w:pPr>
            <w:r w:rsidRPr="002822D7">
              <w:rPr>
                <w:color w:val="000000"/>
                <w:sz w:val="22"/>
                <w:szCs w:val="22"/>
                <w:lang w:eastAsia="en-GB"/>
              </w:rPr>
              <w:t>3,448</w:t>
            </w:r>
          </w:p>
        </w:tc>
        <w:tc>
          <w:tcPr>
            <w:tcW w:w="1180" w:type="dxa"/>
            <w:shd w:val="clear" w:color="auto" w:fill="auto"/>
            <w:noWrap/>
            <w:vAlign w:val="center"/>
            <w:hideMark/>
          </w:tcPr>
          <w:p w14:paraId="04A70735" w14:textId="77777777" w:rsidR="00621FBB" w:rsidRPr="002822D7" w:rsidRDefault="00621FBB" w:rsidP="00621FBB">
            <w:pPr>
              <w:jc w:val="center"/>
              <w:rPr>
                <w:color w:val="000000"/>
                <w:sz w:val="22"/>
                <w:szCs w:val="22"/>
                <w:lang w:eastAsia="en-GB"/>
              </w:rPr>
            </w:pPr>
            <w:r w:rsidRPr="002822D7">
              <w:rPr>
                <w:color w:val="000000"/>
                <w:sz w:val="22"/>
                <w:szCs w:val="22"/>
                <w:lang w:eastAsia="en-GB"/>
              </w:rPr>
              <w:t>127</w:t>
            </w:r>
          </w:p>
        </w:tc>
        <w:tc>
          <w:tcPr>
            <w:tcW w:w="1280" w:type="dxa"/>
            <w:shd w:val="clear" w:color="auto" w:fill="auto"/>
            <w:noWrap/>
            <w:vAlign w:val="center"/>
            <w:hideMark/>
          </w:tcPr>
          <w:p w14:paraId="16CC2BFC" w14:textId="77777777" w:rsidR="00621FBB" w:rsidRPr="002822D7" w:rsidRDefault="00621FBB" w:rsidP="00621FBB">
            <w:pPr>
              <w:jc w:val="center"/>
              <w:rPr>
                <w:color w:val="000000"/>
                <w:sz w:val="22"/>
                <w:szCs w:val="22"/>
                <w:lang w:eastAsia="en-GB"/>
              </w:rPr>
            </w:pPr>
            <w:r w:rsidRPr="002822D7">
              <w:rPr>
                <w:color w:val="000000"/>
                <w:sz w:val="22"/>
                <w:szCs w:val="22"/>
                <w:lang w:eastAsia="en-GB"/>
              </w:rPr>
              <w:t>3.82%</w:t>
            </w:r>
          </w:p>
        </w:tc>
        <w:tc>
          <w:tcPr>
            <w:tcW w:w="1280" w:type="dxa"/>
            <w:shd w:val="clear" w:color="auto" w:fill="auto"/>
            <w:noWrap/>
            <w:vAlign w:val="center"/>
            <w:hideMark/>
          </w:tcPr>
          <w:p w14:paraId="31C03113" w14:textId="77777777" w:rsidR="00621FBB" w:rsidRPr="002822D7" w:rsidRDefault="00621FBB" w:rsidP="00621FBB">
            <w:pPr>
              <w:jc w:val="center"/>
              <w:rPr>
                <w:color w:val="000000"/>
                <w:sz w:val="22"/>
                <w:szCs w:val="22"/>
                <w:lang w:eastAsia="en-GB"/>
              </w:rPr>
            </w:pPr>
            <w:r w:rsidRPr="002822D7">
              <w:rPr>
                <w:color w:val="000000"/>
                <w:sz w:val="22"/>
                <w:szCs w:val="22"/>
                <w:lang w:eastAsia="en-GB"/>
              </w:rPr>
              <w:t>3,251</w:t>
            </w:r>
          </w:p>
        </w:tc>
        <w:tc>
          <w:tcPr>
            <w:tcW w:w="1060" w:type="dxa"/>
            <w:shd w:val="clear" w:color="auto" w:fill="auto"/>
            <w:noWrap/>
            <w:vAlign w:val="center"/>
            <w:hideMark/>
          </w:tcPr>
          <w:p w14:paraId="3527672A" w14:textId="77777777" w:rsidR="00621FBB" w:rsidRPr="002822D7" w:rsidRDefault="00621FBB" w:rsidP="00621FBB">
            <w:pPr>
              <w:jc w:val="center"/>
              <w:rPr>
                <w:color w:val="000000"/>
                <w:sz w:val="22"/>
                <w:szCs w:val="22"/>
                <w:lang w:eastAsia="en-GB"/>
              </w:rPr>
            </w:pPr>
            <w:r w:rsidRPr="002822D7">
              <w:rPr>
                <w:color w:val="000000"/>
                <w:sz w:val="22"/>
                <w:szCs w:val="22"/>
                <w:lang w:eastAsia="en-GB"/>
              </w:rPr>
              <w:t>94.3%</w:t>
            </w:r>
          </w:p>
        </w:tc>
      </w:tr>
      <w:tr w:rsidR="00621FBB" w:rsidRPr="002822D7" w14:paraId="191DFFC1" w14:textId="77777777" w:rsidTr="004F466D">
        <w:trPr>
          <w:trHeight w:val="300"/>
        </w:trPr>
        <w:tc>
          <w:tcPr>
            <w:tcW w:w="1220" w:type="dxa"/>
            <w:shd w:val="clear" w:color="auto" w:fill="auto"/>
            <w:noWrap/>
            <w:vAlign w:val="center"/>
            <w:hideMark/>
          </w:tcPr>
          <w:p w14:paraId="75B172EA" w14:textId="77777777" w:rsidR="00621FBB" w:rsidRPr="002822D7" w:rsidRDefault="00621FBB" w:rsidP="00621FBB">
            <w:pPr>
              <w:jc w:val="center"/>
              <w:rPr>
                <w:color w:val="000000"/>
                <w:sz w:val="22"/>
                <w:szCs w:val="22"/>
                <w:lang w:eastAsia="en-GB"/>
              </w:rPr>
            </w:pPr>
            <w:r w:rsidRPr="002822D7">
              <w:rPr>
                <w:color w:val="000000"/>
                <w:sz w:val="22"/>
                <w:szCs w:val="22"/>
                <w:lang w:eastAsia="en-GB"/>
              </w:rPr>
              <w:t>Sep-15</w:t>
            </w:r>
          </w:p>
        </w:tc>
        <w:tc>
          <w:tcPr>
            <w:tcW w:w="1146" w:type="dxa"/>
            <w:shd w:val="clear" w:color="auto" w:fill="auto"/>
            <w:noWrap/>
            <w:vAlign w:val="center"/>
            <w:hideMark/>
          </w:tcPr>
          <w:p w14:paraId="339267CE" w14:textId="77777777" w:rsidR="00621FBB" w:rsidRPr="002822D7" w:rsidRDefault="00621FBB" w:rsidP="00621FBB">
            <w:pPr>
              <w:jc w:val="center"/>
              <w:rPr>
                <w:color w:val="000000"/>
                <w:sz w:val="22"/>
                <w:szCs w:val="22"/>
                <w:lang w:eastAsia="en-GB"/>
              </w:rPr>
            </w:pPr>
            <w:r w:rsidRPr="002822D7">
              <w:rPr>
                <w:color w:val="000000"/>
                <w:sz w:val="22"/>
                <w:szCs w:val="22"/>
                <w:lang w:eastAsia="en-GB"/>
              </w:rPr>
              <w:t>3,126</w:t>
            </w:r>
          </w:p>
        </w:tc>
        <w:tc>
          <w:tcPr>
            <w:tcW w:w="974" w:type="dxa"/>
            <w:shd w:val="clear" w:color="auto" w:fill="auto"/>
            <w:noWrap/>
            <w:vAlign w:val="center"/>
            <w:hideMark/>
          </w:tcPr>
          <w:p w14:paraId="12A519CA" w14:textId="77777777" w:rsidR="00621FBB" w:rsidRPr="002822D7" w:rsidRDefault="00621FBB" w:rsidP="00621FBB">
            <w:pPr>
              <w:jc w:val="center"/>
              <w:rPr>
                <w:color w:val="000000"/>
                <w:sz w:val="22"/>
                <w:szCs w:val="22"/>
                <w:lang w:eastAsia="en-GB"/>
              </w:rPr>
            </w:pPr>
            <w:r w:rsidRPr="002822D7">
              <w:rPr>
                <w:color w:val="000000"/>
                <w:sz w:val="22"/>
                <w:szCs w:val="22"/>
                <w:lang w:eastAsia="en-GB"/>
              </w:rPr>
              <w:t>288</w:t>
            </w:r>
          </w:p>
        </w:tc>
        <w:tc>
          <w:tcPr>
            <w:tcW w:w="767" w:type="dxa"/>
            <w:shd w:val="clear" w:color="auto" w:fill="auto"/>
            <w:noWrap/>
            <w:vAlign w:val="center"/>
            <w:hideMark/>
          </w:tcPr>
          <w:p w14:paraId="62DB0697" w14:textId="77777777" w:rsidR="00621FBB" w:rsidRPr="002822D7" w:rsidRDefault="00621FBB" w:rsidP="00621FBB">
            <w:pPr>
              <w:jc w:val="center"/>
              <w:rPr>
                <w:color w:val="000000"/>
                <w:sz w:val="22"/>
                <w:szCs w:val="22"/>
                <w:lang w:eastAsia="en-GB"/>
              </w:rPr>
            </w:pPr>
            <w:r w:rsidRPr="002822D7">
              <w:rPr>
                <w:color w:val="000000"/>
                <w:sz w:val="22"/>
                <w:szCs w:val="22"/>
                <w:lang w:eastAsia="en-GB"/>
              </w:rPr>
              <w:t>3,414</w:t>
            </w:r>
          </w:p>
        </w:tc>
        <w:tc>
          <w:tcPr>
            <w:tcW w:w="1180" w:type="dxa"/>
            <w:shd w:val="clear" w:color="auto" w:fill="auto"/>
            <w:noWrap/>
            <w:vAlign w:val="center"/>
            <w:hideMark/>
          </w:tcPr>
          <w:p w14:paraId="0798AF24" w14:textId="77777777" w:rsidR="00621FBB" w:rsidRPr="002822D7" w:rsidRDefault="00621FBB" w:rsidP="00621FBB">
            <w:pPr>
              <w:jc w:val="center"/>
              <w:rPr>
                <w:color w:val="000000"/>
                <w:sz w:val="22"/>
                <w:szCs w:val="22"/>
                <w:lang w:eastAsia="en-GB"/>
              </w:rPr>
            </w:pPr>
            <w:r w:rsidRPr="002822D7">
              <w:rPr>
                <w:color w:val="000000"/>
                <w:sz w:val="22"/>
                <w:szCs w:val="22"/>
                <w:lang w:eastAsia="en-GB"/>
              </w:rPr>
              <w:t>-34</w:t>
            </w:r>
          </w:p>
        </w:tc>
        <w:tc>
          <w:tcPr>
            <w:tcW w:w="1280" w:type="dxa"/>
            <w:shd w:val="clear" w:color="auto" w:fill="auto"/>
            <w:noWrap/>
            <w:vAlign w:val="center"/>
            <w:hideMark/>
          </w:tcPr>
          <w:p w14:paraId="0783BB38" w14:textId="77777777" w:rsidR="00621FBB" w:rsidRPr="002822D7" w:rsidRDefault="00621FBB" w:rsidP="00621FBB">
            <w:pPr>
              <w:jc w:val="center"/>
              <w:rPr>
                <w:color w:val="000000"/>
                <w:sz w:val="22"/>
                <w:szCs w:val="22"/>
                <w:lang w:eastAsia="en-GB"/>
              </w:rPr>
            </w:pPr>
            <w:r w:rsidRPr="002822D7">
              <w:rPr>
                <w:color w:val="000000"/>
                <w:sz w:val="22"/>
                <w:szCs w:val="22"/>
                <w:lang w:eastAsia="en-GB"/>
              </w:rPr>
              <w:t>-0.99%</w:t>
            </w:r>
          </w:p>
        </w:tc>
        <w:tc>
          <w:tcPr>
            <w:tcW w:w="1280" w:type="dxa"/>
            <w:shd w:val="clear" w:color="auto" w:fill="auto"/>
            <w:noWrap/>
            <w:vAlign w:val="center"/>
            <w:hideMark/>
          </w:tcPr>
          <w:p w14:paraId="63B1FD3A" w14:textId="77777777" w:rsidR="00621FBB" w:rsidRPr="002822D7" w:rsidRDefault="00621FBB" w:rsidP="00621FBB">
            <w:pPr>
              <w:jc w:val="center"/>
              <w:rPr>
                <w:color w:val="000000"/>
                <w:sz w:val="22"/>
                <w:szCs w:val="22"/>
                <w:lang w:eastAsia="en-GB"/>
              </w:rPr>
            </w:pPr>
            <w:r w:rsidRPr="002822D7">
              <w:rPr>
                <w:color w:val="000000"/>
                <w:sz w:val="22"/>
                <w:szCs w:val="22"/>
                <w:lang w:eastAsia="en-GB"/>
              </w:rPr>
              <w:t>3,195</w:t>
            </w:r>
          </w:p>
        </w:tc>
        <w:tc>
          <w:tcPr>
            <w:tcW w:w="1060" w:type="dxa"/>
            <w:shd w:val="clear" w:color="auto" w:fill="auto"/>
            <w:noWrap/>
            <w:vAlign w:val="center"/>
            <w:hideMark/>
          </w:tcPr>
          <w:p w14:paraId="3E4C8884" w14:textId="77777777" w:rsidR="00621FBB" w:rsidRPr="002822D7" w:rsidRDefault="00621FBB" w:rsidP="00621FBB">
            <w:pPr>
              <w:jc w:val="center"/>
              <w:rPr>
                <w:color w:val="000000"/>
                <w:sz w:val="22"/>
                <w:szCs w:val="22"/>
                <w:lang w:eastAsia="en-GB"/>
              </w:rPr>
            </w:pPr>
            <w:r w:rsidRPr="002822D7">
              <w:rPr>
                <w:color w:val="000000"/>
                <w:sz w:val="22"/>
                <w:szCs w:val="22"/>
                <w:lang w:eastAsia="en-GB"/>
              </w:rPr>
              <w:t>93.6%</w:t>
            </w:r>
          </w:p>
        </w:tc>
      </w:tr>
      <w:tr w:rsidR="00621FBB" w:rsidRPr="002822D7" w14:paraId="67CEE6DA" w14:textId="77777777" w:rsidTr="004F466D">
        <w:trPr>
          <w:trHeight w:val="300"/>
        </w:trPr>
        <w:tc>
          <w:tcPr>
            <w:tcW w:w="1220" w:type="dxa"/>
            <w:shd w:val="clear" w:color="auto" w:fill="auto"/>
            <w:noWrap/>
            <w:vAlign w:val="center"/>
            <w:hideMark/>
          </w:tcPr>
          <w:p w14:paraId="2EE953C0" w14:textId="77777777" w:rsidR="00621FBB" w:rsidRPr="002822D7" w:rsidRDefault="00621FBB" w:rsidP="00621FBB">
            <w:pPr>
              <w:jc w:val="center"/>
              <w:rPr>
                <w:color w:val="000000"/>
                <w:sz w:val="22"/>
                <w:szCs w:val="22"/>
                <w:lang w:eastAsia="en-GB"/>
              </w:rPr>
            </w:pPr>
            <w:r w:rsidRPr="002822D7">
              <w:rPr>
                <w:color w:val="000000"/>
                <w:sz w:val="22"/>
                <w:szCs w:val="22"/>
                <w:lang w:eastAsia="en-GB"/>
              </w:rPr>
              <w:t>Sep-16</w:t>
            </w:r>
          </w:p>
        </w:tc>
        <w:tc>
          <w:tcPr>
            <w:tcW w:w="1146" w:type="dxa"/>
            <w:shd w:val="clear" w:color="auto" w:fill="auto"/>
            <w:noWrap/>
            <w:vAlign w:val="center"/>
            <w:hideMark/>
          </w:tcPr>
          <w:p w14:paraId="483EAEE9" w14:textId="77777777" w:rsidR="00621FBB" w:rsidRPr="002822D7" w:rsidRDefault="00621FBB" w:rsidP="00621FBB">
            <w:pPr>
              <w:jc w:val="center"/>
              <w:rPr>
                <w:color w:val="000000"/>
                <w:sz w:val="22"/>
                <w:szCs w:val="22"/>
                <w:lang w:eastAsia="en-GB"/>
              </w:rPr>
            </w:pPr>
            <w:r w:rsidRPr="002822D7">
              <w:rPr>
                <w:color w:val="000000"/>
                <w:sz w:val="22"/>
                <w:szCs w:val="22"/>
                <w:lang w:eastAsia="en-GB"/>
              </w:rPr>
              <w:t>3,175</w:t>
            </w:r>
          </w:p>
        </w:tc>
        <w:tc>
          <w:tcPr>
            <w:tcW w:w="974" w:type="dxa"/>
            <w:shd w:val="clear" w:color="auto" w:fill="auto"/>
            <w:noWrap/>
            <w:vAlign w:val="center"/>
            <w:hideMark/>
          </w:tcPr>
          <w:p w14:paraId="27C90965" w14:textId="77777777" w:rsidR="00621FBB" w:rsidRPr="002822D7" w:rsidRDefault="00621FBB" w:rsidP="00621FBB">
            <w:pPr>
              <w:jc w:val="center"/>
              <w:rPr>
                <w:color w:val="000000"/>
                <w:sz w:val="22"/>
                <w:szCs w:val="22"/>
                <w:lang w:eastAsia="en-GB"/>
              </w:rPr>
            </w:pPr>
            <w:r w:rsidRPr="002822D7">
              <w:rPr>
                <w:color w:val="000000"/>
                <w:sz w:val="22"/>
                <w:szCs w:val="22"/>
                <w:lang w:eastAsia="en-GB"/>
              </w:rPr>
              <w:t>264</w:t>
            </w:r>
          </w:p>
        </w:tc>
        <w:tc>
          <w:tcPr>
            <w:tcW w:w="767" w:type="dxa"/>
            <w:shd w:val="clear" w:color="auto" w:fill="auto"/>
            <w:noWrap/>
            <w:vAlign w:val="center"/>
            <w:hideMark/>
          </w:tcPr>
          <w:p w14:paraId="667A3EFB" w14:textId="77777777" w:rsidR="00621FBB" w:rsidRPr="002822D7" w:rsidRDefault="00621FBB" w:rsidP="00621FBB">
            <w:pPr>
              <w:jc w:val="center"/>
              <w:rPr>
                <w:color w:val="000000"/>
                <w:sz w:val="22"/>
                <w:szCs w:val="22"/>
                <w:lang w:eastAsia="en-GB"/>
              </w:rPr>
            </w:pPr>
            <w:r w:rsidRPr="002822D7">
              <w:rPr>
                <w:color w:val="000000"/>
                <w:sz w:val="22"/>
                <w:szCs w:val="22"/>
                <w:lang w:eastAsia="en-GB"/>
              </w:rPr>
              <w:t>3,439</w:t>
            </w:r>
          </w:p>
        </w:tc>
        <w:tc>
          <w:tcPr>
            <w:tcW w:w="1180" w:type="dxa"/>
            <w:shd w:val="clear" w:color="auto" w:fill="auto"/>
            <w:noWrap/>
            <w:vAlign w:val="center"/>
            <w:hideMark/>
          </w:tcPr>
          <w:p w14:paraId="7ACF1479" w14:textId="77777777" w:rsidR="00621FBB" w:rsidRPr="002822D7" w:rsidRDefault="00621FBB" w:rsidP="00621FBB">
            <w:pPr>
              <w:jc w:val="center"/>
              <w:rPr>
                <w:color w:val="000000"/>
                <w:sz w:val="22"/>
                <w:szCs w:val="22"/>
                <w:lang w:eastAsia="en-GB"/>
              </w:rPr>
            </w:pPr>
            <w:r w:rsidRPr="002822D7">
              <w:rPr>
                <w:color w:val="000000"/>
                <w:sz w:val="22"/>
                <w:szCs w:val="22"/>
                <w:lang w:eastAsia="en-GB"/>
              </w:rPr>
              <w:t>25</w:t>
            </w:r>
          </w:p>
        </w:tc>
        <w:tc>
          <w:tcPr>
            <w:tcW w:w="1280" w:type="dxa"/>
            <w:shd w:val="clear" w:color="auto" w:fill="auto"/>
            <w:noWrap/>
            <w:vAlign w:val="center"/>
            <w:hideMark/>
          </w:tcPr>
          <w:p w14:paraId="7551585F" w14:textId="77777777" w:rsidR="00621FBB" w:rsidRPr="002822D7" w:rsidRDefault="00621FBB" w:rsidP="00621FBB">
            <w:pPr>
              <w:jc w:val="center"/>
              <w:rPr>
                <w:color w:val="000000"/>
                <w:sz w:val="22"/>
                <w:szCs w:val="22"/>
                <w:lang w:eastAsia="en-GB"/>
              </w:rPr>
            </w:pPr>
            <w:r w:rsidRPr="002822D7">
              <w:rPr>
                <w:color w:val="000000"/>
                <w:sz w:val="22"/>
                <w:szCs w:val="22"/>
                <w:lang w:eastAsia="en-GB"/>
              </w:rPr>
              <w:t>0.73%</w:t>
            </w:r>
          </w:p>
        </w:tc>
        <w:tc>
          <w:tcPr>
            <w:tcW w:w="1280" w:type="dxa"/>
            <w:shd w:val="clear" w:color="auto" w:fill="auto"/>
            <w:noWrap/>
            <w:vAlign w:val="center"/>
            <w:hideMark/>
          </w:tcPr>
          <w:p w14:paraId="4CB81C70" w14:textId="77777777" w:rsidR="00621FBB" w:rsidRPr="002822D7" w:rsidRDefault="00621FBB" w:rsidP="00621FBB">
            <w:pPr>
              <w:jc w:val="center"/>
              <w:rPr>
                <w:color w:val="000000"/>
                <w:sz w:val="22"/>
                <w:szCs w:val="22"/>
                <w:lang w:eastAsia="en-GB"/>
              </w:rPr>
            </w:pPr>
            <w:r w:rsidRPr="002822D7">
              <w:rPr>
                <w:color w:val="000000"/>
                <w:sz w:val="22"/>
                <w:szCs w:val="22"/>
                <w:lang w:eastAsia="en-GB"/>
              </w:rPr>
              <w:t>3,154</w:t>
            </w:r>
          </w:p>
        </w:tc>
        <w:tc>
          <w:tcPr>
            <w:tcW w:w="1060" w:type="dxa"/>
            <w:shd w:val="clear" w:color="auto" w:fill="auto"/>
            <w:noWrap/>
            <w:vAlign w:val="center"/>
            <w:hideMark/>
          </w:tcPr>
          <w:p w14:paraId="4E27CC21" w14:textId="77777777" w:rsidR="00621FBB" w:rsidRPr="002822D7" w:rsidRDefault="00621FBB" w:rsidP="00621FBB">
            <w:pPr>
              <w:jc w:val="center"/>
              <w:rPr>
                <w:color w:val="000000"/>
                <w:sz w:val="22"/>
                <w:szCs w:val="22"/>
                <w:lang w:eastAsia="en-GB"/>
              </w:rPr>
            </w:pPr>
            <w:r w:rsidRPr="002822D7">
              <w:rPr>
                <w:color w:val="000000"/>
                <w:sz w:val="22"/>
                <w:szCs w:val="22"/>
                <w:lang w:eastAsia="en-GB"/>
              </w:rPr>
              <w:t>91.7%</w:t>
            </w:r>
          </w:p>
        </w:tc>
      </w:tr>
      <w:tr w:rsidR="00621FBB" w:rsidRPr="002822D7" w14:paraId="6EBE0502" w14:textId="77777777" w:rsidTr="004F466D">
        <w:trPr>
          <w:trHeight w:val="300"/>
        </w:trPr>
        <w:tc>
          <w:tcPr>
            <w:tcW w:w="1220" w:type="dxa"/>
            <w:shd w:val="clear" w:color="auto" w:fill="auto"/>
            <w:noWrap/>
            <w:vAlign w:val="center"/>
            <w:hideMark/>
          </w:tcPr>
          <w:p w14:paraId="077B235F" w14:textId="77777777" w:rsidR="00621FBB" w:rsidRPr="002822D7" w:rsidRDefault="00621FBB" w:rsidP="00621FBB">
            <w:pPr>
              <w:jc w:val="center"/>
              <w:rPr>
                <w:color w:val="000000"/>
                <w:sz w:val="22"/>
                <w:szCs w:val="22"/>
                <w:lang w:eastAsia="en-GB"/>
              </w:rPr>
            </w:pPr>
            <w:r w:rsidRPr="002822D7">
              <w:rPr>
                <w:color w:val="000000"/>
                <w:sz w:val="22"/>
                <w:szCs w:val="22"/>
                <w:lang w:eastAsia="en-GB"/>
              </w:rPr>
              <w:t>Sep-17</w:t>
            </w:r>
          </w:p>
        </w:tc>
        <w:tc>
          <w:tcPr>
            <w:tcW w:w="1146" w:type="dxa"/>
            <w:shd w:val="clear" w:color="auto" w:fill="auto"/>
            <w:noWrap/>
            <w:vAlign w:val="center"/>
            <w:hideMark/>
          </w:tcPr>
          <w:p w14:paraId="1A08B5C0" w14:textId="77777777" w:rsidR="00621FBB" w:rsidRPr="002822D7" w:rsidRDefault="00621FBB" w:rsidP="00621FBB">
            <w:pPr>
              <w:jc w:val="center"/>
              <w:rPr>
                <w:color w:val="000000"/>
                <w:sz w:val="22"/>
                <w:szCs w:val="22"/>
                <w:lang w:eastAsia="en-GB"/>
              </w:rPr>
            </w:pPr>
            <w:r w:rsidRPr="002822D7">
              <w:rPr>
                <w:color w:val="000000"/>
                <w:sz w:val="22"/>
                <w:szCs w:val="22"/>
                <w:lang w:eastAsia="en-GB"/>
              </w:rPr>
              <w:t>3,143</w:t>
            </w:r>
          </w:p>
        </w:tc>
        <w:tc>
          <w:tcPr>
            <w:tcW w:w="974" w:type="dxa"/>
            <w:shd w:val="clear" w:color="auto" w:fill="auto"/>
            <w:noWrap/>
            <w:vAlign w:val="center"/>
            <w:hideMark/>
          </w:tcPr>
          <w:p w14:paraId="5B31501A" w14:textId="77777777" w:rsidR="00621FBB" w:rsidRPr="002822D7" w:rsidRDefault="00621FBB" w:rsidP="00621FBB">
            <w:pPr>
              <w:jc w:val="center"/>
              <w:rPr>
                <w:color w:val="000000"/>
                <w:sz w:val="22"/>
                <w:szCs w:val="22"/>
                <w:lang w:eastAsia="en-GB"/>
              </w:rPr>
            </w:pPr>
            <w:r w:rsidRPr="002822D7">
              <w:rPr>
                <w:color w:val="000000"/>
                <w:sz w:val="22"/>
                <w:szCs w:val="22"/>
                <w:lang w:eastAsia="en-GB"/>
              </w:rPr>
              <w:t>243</w:t>
            </w:r>
          </w:p>
        </w:tc>
        <w:tc>
          <w:tcPr>
            <w:tcW w:w="767" w:type="dxa"/>
            <w:shd w:val="clear" w:color="auto" w:fill="auto"/>
            <w:noWrap/>
            <w:vAlign w:val="center"/>
            <w:hideMark/>
          </w:tcPr>
          <w:p w14:paraId="0DDAEEFB" w14:textId="77777777" w:rsidR="00621FBB" w:rsidRPr="002822D7" w:rsidRDefault="00621FBB" w:rsidP="00621FBB">
            <w:pPr>
              <w:jc w:val="center"/>
              <w:rPr>
                <w:color w:val="000000"/>
                <w:sz w:val="22"/>
                <w:szCs w:val="22"/>
                <w:lang w:eastAsia="en-GB"/>
              </w:rPr>
            </w:pPr>
            <w:r w:rsidRPr="002822D7">
              <w:rPr>
                <w:color w:val="000000"/>
                <w:sz w:val="22"/>
                <w:szCs w:val="22"/>
                <w:lang w:eastAsia="en-GB"/>
              </w:rPr>
              <w:t>3,386</w:t>
            </w:r>
          </w:p>
        </w:tc>
        <w:tc>
          <w:tcPr>
            <w:tcW w:w="1180" w:type="dxa"/>
            <w:shd w:val="clear" w:color="auto" w:fill="auto"/>
            <w:noWrap/>
            <w:vAlign w:val="center"/>
            <w:hideMark/>
          </w:tcPr>
          <w:p w14:paraId="230EDE7D" w14:textId="77777777" w:rsidR="00621FBB" w:rsidRPr="002822D7" w:rsidRDefault="00621FBB" w:rsidP="00621FBB">
            <w:pPr>
              <w:jc w:val="center"/>
              <w:rPr>
                <w:color w:val="000000"/>
                <w:sz w:val="22"/>
                <w:szCs w:val="22"/>
                <w:lang w:eastAsia="en-GB"/>
              </w:rPr>
            </w:pPr>
            <w:r w:rsidRPr="002822D7">
              <w:rPr>
                <w:color w:val="000000"/>
                <w:sz w:val="22"/>
                <w:szCs w:val="22"/>
                <w:lang w:eastAsia="en-GB"/>
              </w:rPr>
              <w:t>-53</w:t>
            </w:r>
          </w:p>
        </w:tc>
        <w:tc>
          <w:tcPr>
            <w:tcW w:w="1280" w:type="dxa"/>
            <w:shd w:val="clear" w:color="auto" w:fill="auto"/>
            <w:noWrap/>
            <w:vAlign w:val="center"/>
            <w:hideMark/>
          </w:tcPr>
          <w:p w14:paraId="0C7A29F2" w14:textId="77777777" w:rsidR="00621FBB" w:rsidRPr="002822D7" w:rsidRDefault="00621FBB" w:rsidP="00621FBB">
            <w:pPr>
              <w:jc w:val="center"/>
              <w:rPr>
                <w:color w:val="000000"/>
                <w:sz w:val="22"/>
                <w:szCs w:val="22"/>
                <w:lang w:eastAsia="en-GB"/>
              </w:rPr>
            </w:pPr>
            <w:r w:rsidRPr="002822D7">
              <w:rPr>
                <w:color w:val="000000"/>
                <w:sz w:val="22"/>
                <w:szCs w:val="22"/>
                <w:lang w:eastAsia="en-GB"/>
              </w:rPr>
              <w:t>-1.54%</w:t>
            </w:r>
          </w:p>
        </w:tc>
        <w:tc>
          <w:tcPr>
            <w:tcW w:w="1280" w:type="dxa"/>
            <w:shd w:val="clear" w:color="auto" w:fill="auto"/>
            <w:noWrap/>
            <w:vAlign w:val="center"/>
            <w:hideMark/>
          </w:tcPr>
          <w:p w14:paraId="45A7D5CC" w14:textId="77777777" w:rsidR="00621FBB" w:rsidRPr="002822D7" w:rsidRDefault="00621FBB" w:rsidP="00621FBB">
            <w:pPr>
              <w:jc w:val="center"/>
              <w:rPr>
                <w:color w:val="000000"/>
                <w:sz w:val="22"/>
                <w:szCs w:val="22"/>
                <w:lang w:eastAsia="en-GB"/>
              </w:rPr>
            </w:pPr>
            <w:r w:rsidRPr="002822D7">
              <w:rPr>
                <w:color w:val="000000"/>
                <w:sz w:val="22"/>
                <w:szCs w:val="22"/>
                <w:lang w:eastAsia="en-GB"/>
              </w:rPr>
              <w:t>3,189</w:t>
            </w:r>
          </w:p>
        </w:tc>
        <w:tc>
          <w:tcPr>
            <w:tcW w:w="1060" w:type="dxa"/>
            <w:shd w:val="clear" w:color="auto" w:fill="auto"/>
            <w:noWrap/>
            <w:vAlign w:val="center"/>
            <w:hideMark/>
          </w:tcPr>
          <w:p w14:paraId="52C1C561" w14:textId="77777777" w:rsidR="00621FBB" w:rsidRPr="002822D7" w:rsidRDefault="00621FBB" w:rsidP="00621FBB">
            <w:pPr>
              <w:jc w:val="center"/>
              <w:rPr>
                <w:color w:val="000000"/>
                <w:sz w:val="22"/>
                <w:szCs w:val="22"/>
                <w:lang w:eastAsia="en-GB"/>
              </w:rPr>
            </w:pPr>
            <w:r w:rsidRPr="002822D7">
              <w:rPr>
                <w:color w:val="000000"/>
                <w:sz w:val="22"/>
                <w:szCs w:val="22"/>
                <w:lang w:eastAsia="en-GB"/>
              </w:rPr>
              <w:t>94.2%</w:t>
            </w:r>
          </w:p>
        </w:tc>
      </w:tr>
      <w:tr w:rsidR="00621FBB" w:rsidRPr="002822D7" w14:paraId="3851BD67" w14:textId="77777777" w:rsidTr="004F466D">
        <w:trPr>
          <w:trHeight w:val="300"/>
        </w:trPr>
        <w:tc>
          <w:tcPr>
            <w:tcW w:w="1220" w:type="dxa"/>
            <w:shd w:val="clear" w:color="auto" w:fill="auto"/>
            <w:noWrap/>
            <w:vAlign w:val="center"/>
            <w:hideMark/>
          </w:tcPr>
          <w:p w14:paraId="0AD317B7" w14:textId="77777777" w:rsidR="00621FBB" w:rsidRPr="002822D7" w:rsidRDefault="00621FBB" w:rsidP="00621FBB">
            <w:pPr>
              <w:jc w:val="center"/>
              <w:rPr>
                <w:color w:val="000000"/>
                <w:sz w:val="22"/>
                <w:szCs w:val="22"/>
                <w:lang w:eastAsia="en-GB"/>
              </w:rPr>
            </w:pPr>
            <w:r w:rsidRPr="002822D7">
              <w:rPr>
                <w:color w:val="000000"/>
                <w:sz w:val="22"/>
                <w:szCs w:val="22"/>
                <w:lang w:eastAsia="en-GB"/>
              </w:rPr>
              <w:t>Sep-18</w:t>
            </w:r>
          </w:p>
        </w:tc>
        <w:tc>
          <w:tcPr>
            <w:tcW w:w="1146" w:type="dxa"/>
            <w:shd w:val="clear" w:color="auto" w:fill="auto"/>
            <w:noWrap/>
            <w:vAlign w:val="center"/>
            <w:hideMark/>
          </w:tcPr>
          <w:p w14:paraId="5F416FDE" w14:textId="77777777" w:rsidR="00621FBB" w:rsidRPr="002822D7" w:rsidRDefault="00621FBB" w:rsidP="00621FBB">
            <w:pPr>
              <w:jc w:val="center"/>
              <w:rPr>
                <w:color w:val="000000"/>
                <w:sz w:val="22"/>
                <w:szCs w:val="22"/>
                <w:lang w:eastAsia="en-GB"/>
              </w:rPr>
            </w:pPr>
            <w:r w:rsidRPr="002822D7">
              <w:rPr>
                <w:color w:val="000000"/>
                <w:sz w:val="22"/>
                <w:szCs w:val="22"/>
                <w:lang w:eastAsia="en-GB"/>
              </w:rPr>
              <w:t>2,969</w:t>
            </w:r>
          </w:p>
        </w:tc>
        <w:tc>
          <w:tcPr>
            <w:tcW w:w="974" w:type="dxa"/>
            <w:shd w:val="clear" w:color="auto" w:fill="auto"/>
            <w:noWrap/>
            <w:vAlign w:val="center"/>
            <w:hideMark/>
          </w:tcPr>
          <w:p w14:paraId="6C6D6DD0" w14:textId="77777777" w:rsidR="00621FBB" w:rsidRPr="002822D7" w:rsidRDefault="00621FBB" w:rsidP="00621FBB">
            <w:pPr>
              <w:jc w:val="center"/>
              <w:rPr>
                <w:color w:val="000000"/>
                <w:sz w:val="22"/>
                <w:szCs w:val="22"/>
                <w:lang w:eastAsia="en-GB"/>
              </w:rPr>
            </w:pPr>
            <w:r w:rsidRPr="002822D7">
              <w:rPr>
                <w:color w:val="000000"/>
                <w:sz w:val="22"/>
                <w:szCs w:val="22"/>
                <w:lang w:eastAsia="en-GB"/>
              </w:rPr>
              <w:t>205</w:t>
            </w:r>
          </w:p>
        </w:tc>
        <w:tc>
          <w:tcPr>
            <w:tcW w:w="767" w:type="dxa"/>
            <w:shd w:val="clear" w:color="auto" w:fill="auto"/>
            <w:noWrap/>
            <w:vAlign w:val="center"/>
            <w:hideMark/>
          </w:tcPr>
          <w:p w14:paraId="3D1AC06B" w14:textId="77777777" w:rsidR="00621FBB" w:rsidRPr="002822D7" w:rsidRDefault="00621FBB" w:rsidP="00621FBB">
            <w:pPr>
              <w:jc w:val="center"/>
              <w:rPr>
                <w:color w:val="000000"/>
                <w:sz w:val="22"/>
                <w:szCs w:val="22"/>
                <w:lang w:eastAsia="en-GB"/>
              </w:rPr>
            </w:pPr>
            <w:r w:rsidRPr="002822D7">
              <w:rPr>
                <w:color w:val="000000"/>
                <w:sz w:val="22"/>
                <w:szCs w:val="22"/>
                <w:lang w:eastAsia="en-GB"/>
              </w:rPr>
              <w:t>3,174</w:t>
            </w:r>
          </w:p>
        </w:tc>
        <w:tc>
          <w:tcPr>
            <w:tcW w:w="1180" w:type="dxa"/>
            <w:shd w:val="clear" w:color="auto" w:fill="auto"/>
            <w:noWrap/>
            <w:vAlign w:val="center"/>
            <w:hideMark/>
          </w:tcPr>
          <w:p w14:paraId="4654AC73" w14:textId="77777777" w:rsidR="00621FBB" w:rsidRPr="002822D7" w:rsidRDefault="00621FBB" w:rsidP="00621FBB">
            <w:pPr>
              <w:jc w:val="center"/>
              <w:rPr>
                <w:color w:val="000000"/>
                <w:sz w:val="22"/>
                <w:szCs w:val="22"/>
                <w:lang w:eastAsia="en-GB"/>
              </w:rPr>
            </w:pPr>
            <w:r w:rsidRPr="002822D7">
              <w:rPr>
                <w:color w:val="000000"/>
                <w:sz w:val="22"/>
                <w:szCs w:val="22"/>
                <w:lang w:eastAsia="en-GB"/>
              </w:rPr>
              <w:t>-212</w:t>
            </w:r>
          </w:p>
        </w:tc>
        <w:tc>
          <w:tcPr>
            <w:tcW w:w="1280" w:type="dxa"/>
            <w:shd w:val="clear" w:color="auto" w:fill="auto"/>
            <w:noWrap/>
            <w:vAlign w:val="center"/>
            <w:hideMark/>
          </w:tcPr>
          <w:p w14:paraId="3968A0FA" w14:textId="77777777" w:rsidR="00621FBB" w:rsidRPr="002822D7" w:rsidRDefault="00621FBB" w:rsidP="00621FBB">
            <w:pPr>
              <w:jc w:val="center"/>
              <w:rPr>
                <w:color w:val="000000"/>
                <w:sz w:val="22"/>
                <w:szCs w:val="22"/>
                <w:lang w:eastAsia="en-GB"/>
              </w:rPr>
            </w:pPr>
            <w:r w:rsidRPr="002822D7">
              <w:rPr>
                <w:color w:val="000000"/>
                <w:sz w:val="22"/>
                <w:szCs w:val="22"/>
                <w:lang w:eastAsia="en-GB"/>
              </w:rPr>
              <w:t>-6.26%</w:t>
            </w:r>
          </w:p>
        </w:tc>
        <w:tc>
          <w:tcPr>
            <w:tcW w:w="1280" w:type="dxa"/>
            <w:shd w:val="clear" w:color="auto" w:fill="auto"/>
            <w:noWrap/>
            <w:vAlign w:val="center"/>
            <w:hideMark/>
          </w:tcPr>
          <w:p w14:paraId="7DF4718E" w14:textId="77777777" w:rsidR="00621FBB" w:rsidRPr="002822D7" w:rsidRDefault="00621FBB" w:rsidP="00621FBB">
            <w:pPr>
              <w:jc w:val="center"/>
              <w:rPr>
                <w:color w:val="000000"/>
                <w:sz w:val="22"/>
                <w:szCs w:val="22"/>
                <w:lang w:eastAsia="en-GB"/>
              </w:rPr>
            </w:pPr>
            <w:r w:rsidRPr="002822D7">
              <w:rPr>
                <w:color w:val="000000"/>
                <w:sz w:val="22"/>
                <w:szCs w:val="22"/>
                <w:lang w:eastAsia="en-GB"/>
              </w:rPr>
              <w:t>3,043</w:t>
            </w:r>
          </w:p>
        </w:tc>
        <w:tc>
          <w:tcPr>
            <w:tcW w:w="1060" w:type="dxa"/>
            <w:shd w:val="clear" w:color="auto" w:fill="auto"/>
            <w:noWrap/>
            <w:vAlign w:val="center"/>
            <w:hideMark/>
          </w:tcPr>
          <w:p w14:paraId="25B55384" w14:textId="77777777" w:rsidR="00621FBB" w:rsidRPr="002822D7" w:rsidRDefault="00621FBB" w:rsidP="00621FBB">
            <w:pPr>
              <w:jc w:val="center"/>
              <w:rPr>
                <w:color w:val="000000"/>
                <w:sz w:val="22"/>
                <w:szCs w:val="22"/>
                <w:lang w:eastAsia="en-GB"/>
              </w:rPr>
            </w:pPr>
            <w:r w:rsidRPr="002822D7">
              <w:rPr>
                <w:color w:val="000000"/>
                <w:sz w:val="22"/>
                <w:szCs w:val="22"/>
                <w:lang w:eastAsia="en-GB"/>
              </w:rPr>
              <w:t>95.9%</w:t>
            </w:r>
          </w:p>
        </w:tc>
      </w:tr>
      <w:tr w:rsidR="00621FBB" w:rsidRPr="002822D7" w14:paraId="5EBD7F88" w14:textId="77777777" w:rsidTr="004F466D">
        <w:trPr>
          <w:trHeight w:val="300"/>
        </w:trPr>
        <w:tc>
          <w:tcPr>
            <w:tcW w:w="1220" w:type="dxa"/>
            <w:shd w:val="clear" w:color="auto" w:fill="auto"/>
            <w:noWrap/>
            <w:vAlign w:val="center"/>
            <w:hideMark/>
          </w:tcPr>
          <w:p w14:paraId="32DBF914" w14:textId="77777777" w:rsidR="00621FBB" w:rsidRPr="002822D7" w:rsidRDefault="00621FBB" w:rsidP="00621FBB">
            <w:pPr>
              <w:jc w:val="center"/>
              <w:rPr>
                <w:color w:val="000000"/>
                <w:sz w:val="22"/>
                <w:szCs w:val="22"/>
                <w:lang w:eastAsia="en-GB"/>
              </w:rPr>
            </w:pPr>
            <w:r w:rsidRPr="002822D7">
              <w:rPr>
                <w:color w:val="000000"/>
                <w:sz w:val="22"/>
                <w:szCs w:val="22"/>
                <w:lang w:eastAsia="en-GB"/>
              </w:rPr>
              <w:t>Sep-19</w:t>
            </w:r>
          </w:p>
        </w:tc>
        <w:tc>
          <w:tcPr>
            <w:tcW w:w="1146" w:type="dxa"/>
            <w:shd w:val="clear" w:color="auto" w:fill="auto"/>
            <w:noWrap/>
            <w:vAlign w:val="center"/>
            <w:hideMark/>
          </w:tcPr>
          <w:p w14:paraId="3BEF33E1" w14:textId="77777777" w:rsidR="00621FBB" w:rsidRPr="002822D7" w:rsidRDefault="00621FBB" w:rsidP="00621FBB">
            <w:pPr>
              <w:jc w:val="center"/>
              <w:rPr>
                <w:color w:val="000000"/>
                <w:sz w:val="22"/>
                <w:szCs w:val="22"/>
                <w:lang w:eastAsia="en-GB"/>
              </w:rPr>
            </w:pPr>
            <w:r w:rsidRPr="002822D7">
              <w:rPr>
                <w:color w:val="000000"/>
                <w:sz w:val="22"/>
                <w:szCs w:val="22"/>
                <w:lang w:eastAsia="en-GB"/>
              </w:rPr>
              <w:t>2,976</w:t>
            </w:r>
          </w:p>
        </w:tc>
        <w:tc>
          <w:tcPr>
            <w:tcW w:w="974" w:type="dxa"/>
            <w:shd w:val="clear" w:color="auto" w:fill="auto"/>
            <w:noWrap/>
            <w:vAlign w:val="center"/>
            <w:hideMark/>
          </w:tcPr>
          <w:p w14:paraId="62A620BE" w14:textId="77777777" w:rsidR="00621FBB" w:rsidRPr="002822D7" w:rsidRDefault="00621FBB" w:rsidP="00621FBB">
            <w:pPr>
              <w:jc w:val="center"/>
              <w:rPr>
                <w:color w:val="000000"/>
                <w:sz w:val="22"/>
                <w:szCs w:val="22"/>
                <w:lang w:eastAsia="en-GB"/>
              </w:rPr>
            </w:pPr>
            <w:r w:rsidRPr="002822D7">
              <w:rPr>
                <w:color w:val="000000"/>
                <w:sz w:val="22"/>
                <w:szCs w:val="22"/>
                <w:lang w:eastAsia="en-GB"/>
              </w:rPr>
              <w:t>212</w:t>
            </w:r>
          </w:p>
        </w:tc>
        <w:tc>
          <w:tcPr>
            <w:tcW w:w="767" w:type="dxa"/>
            <w:shd w:val="clear" w:color="auto" w:fill="auto"/>
            <w:noWrap/>
            <w:vAlign w:val="center"/>
            <w:hideMark/>
          </w:tcPr>
          <w:p w14:paraId="1A430958" w14:textId="77777777" w:rsidR="00621FBB" w:rsidRPr="002822D7" w:rsidRDefault="00621FBB" w:rsidP="00621FBB">
            <w:pPr>
              <w:jc w:val="center"/>
              <w:rPr>
                <w:color w:val="000000"/>
                <w:sz w:val="22"/>
                <w:szCs w:val="22"/>
                <w:lang w:eastAsia="en-GB"/>
              </w:rPr>
            </w:pPr>
            <w:r w:rsidRPr="002822D7">
              <w:rPr>
                <w:color w:val="000000"/>
                <w:sz w:val="22"/>
                <w:szCs w:val="22"/>
                <w:lang w:eastAsia="en-GB"/>
              </w:rPr>
              <w:t>3,188</w:t>
            </w:r>
          </w:p>
        </w:tc>
        <w:tc>
          <w:tcPr>
            <w:tcW w:w="1180" w:type="dxa"/>
            <w:shd w:val="clear" w:color="auto" w:fill="auto"/>
            <w:noWrap/>
            <w:vAlign w:val="center"/>
            <w:hideMark/>
          </w:tcPr>
          <w:p w14:paraId="18CA3329" w14:textId="77777777" w:rsidR="00621FBB" w:rsidRPr="002822D7" w:rsidRDefault="00621FBB" w:rsidP="00621FBB">
            <w:pPr>
              <w:jc w:val="center"/>
              <w:rPr>
                <w:color w:val="000000"/>
                <w:sz w:val="22"/>
                <w:szCs w:val="22"/>
                <w:lang w:eastAsia="en-GB"/>
              </w:rPr>
            </w:pPr>
            <w:r w:rsidRPr="002822D7">
              <w:rPr>
                <w:color w:val="000000"/>
                <w:sz w:val="22"/>
                <w:szCs w:val="22"/>
                <w:lang w:eastAsia="en-GB"/>
              </w:rPr>
              <w:t>14</w:t>
            </w:r>
          </w:p>
        </w:tc>
        <w:tc>
          <w:tcPr>
            <w:tcW w:w="1280" w:type="dxa"/>
            <w:shd w:val="clear" w:color="auto" w:fill="auto"/>
            <w:noWrap/>
            <w:vAlign w:val="center"/>
            <w:hideMark/>
          </w:tcPr>
          <w:p w14:paraId="20197C98" w14:textId="77777777" w:rsidR="00621FBB" w:rsidRPr="002822D7" w:rsidRDefault="00621FBB" w:rsidP="00621FBB">
            <w:pPr>
              <w:jc w:val="center"/>
              <w:rPr>
                <w:color w:val="000000"/>
                <w:sz w:val="22"/>
                <w:szCs w:val="22"/>
                <w:lang w:eastAsia="en-GB"/>
              </w:rPr>
            </w:pPr>
            <w:r w:rsidRPr="002822D7">
              <w:rPr>
                <w:color w:val="000000"/>
                <w:sz w:val="22"/>
                <w:szCs w:val="22"/>
                <w:lang w:eastAsia="en-GB"/>
              </w:rPr>
              <w:t>0.44%</w:t>
            </w:r>
          </w:p>
        </w:tc>
        <w:tc>
          <w:tcPr>
            <w:tcW w:w="1280" w:type="dxa"/>
            <w:shd w:val="clear" w:color="auto" w:fill="auto"/>
            <w:noWrap/>
            <w:vAlign w:val="center"/>
            <w:hideMark/>
          </w:tcPr>
          <w:p w14:paraId="0CCD9EC0" w14:textId="77777777" w:rsidR="00621FBB" w:rsidRPr="002822D7" w:rsidRDefault="00621FBB" w:rsidP="00621FBB">
            <w:pPr>
              <w:jc w:val="center"/>
              <w:rPr>
                <w:color w:val="000000"/>
                <w:sz w:val="22"/>
                <w:szCs w:val="22"/>
                <w:lang w:eastAsia="en-GB"/>
              </w:rPr>
            </w:pPr>
            <w:r w:rsidRPr="002822D7">
              <w:rPr>
                <w:color w:val="000000"/>
                <w:sz w:val="22"/>
                <w:szCs w:val="22"/>
                <w:lang w:eastAsia="en-GB"/>
              </w:rPr>
              <w:t>3,079</w:t>
            </w:r>
          </w:p>
        </w:tc>
        <w:tc>
          <w:tcPr>
            <w:tcW w:w="1060" w:type="dxa"/>
            <w:shd w:val="clear" w:color="auto" w:fill="auto"/>
            <w:noWrap/>
            <w:vAlign w:val="center"/>
            <w:hideMark/>
          </w:tcPr>
          <w:p w14:paraId="474FE2D2" w14:textId="77777777" w:rsidR="00621FBB" w:rsidRPr="002822D7" w:rsidRDefault="00621FBB" w:rsidP="00621FBB">
            <w:pPr>
              <w:jc w:val="center"/>
              <w:rPr>
                <w:color w:val="000000"/>
                <w:sz w:val="22"/>
                <w:szCs w:val="22"/>
                <w:lang w:eastAsia="en-GB"/>
              </w:rPr>
            </w:pPr>
            <w:r w:rsidRPr="002822D7">
              <w:rPr>
                <w:color w:val="000000"/>
                <w:sz w:val="22"/>
                <w:szCs w:val="22"/>
                <w:lang w:eastAsia="en-GB"/>
              </w:rPr>
              <w:t>96.6%</w:t>
            </w:r>
          </w:p>
        </w:tc>
      </w:tr>
      <w:tr w:rsidR="00621FBB" w:rsidRPr="002822D7" w14:paraId="0FC0DAD5" w14:textId="77777777" w:rsidTr="004F466D">
        <w:trPr>
          <w:trHeight w:val="300"/>
        </w:trPr>
        <w:tc>
          <w:tcPr>
            <w:tcW w:w="1220" w:type="dxa"/>
            <w:shd w:val="clear" w:color="auto" w:fill="auto"/>
            <w:noWrap/>
            <w:vAlign w:val="center"/>
            <w:hideMark/>
          </w:tcPr>
          <w:p w14:paraId="26D27E2B" w14:textId="77777777" w:rsidR="00621FBB" w:rsidRPr="002822D7" w:rsidRDefault="00621FBB" w:rsidP="00621FBB">
            <w:pPr>
              <w:jc w:val="center"/>
              <w:rPr>
                <w:color w:val="000000"/>
                <w:sz w:val="22"/>
                <w:szCs w:val="22"/>
                <w:lang w:eastAsia="en-GB"/>
              </w:rPr>
            </w:pPr>
            <w:r w:rsidRPr="002822D7">
              <w:rPr>
                <w:color w:val="000000"/>
                <w:sz w:val="22"/>
                <w:szCs w:val="22"/>
                <w:lang w:eastAsia="en-GB"/>
              </w:rPr>
              <w:t>Sep-20</w:t>
            </w:r>
          </w:p>
        </w:tc>
        <w:tc>
          <w:tcPr>
            <w:tcW w:w="1146" w:type="dxa"/>
            <w:shd w:val="clear" w:color="auto" w:fill="auto"/>
            <w:noWrap/>
            <w:vAlign w:val="center"/>
            <w:hideMark/>
          </w:tcPr>
          <w:p w14:paraId="743EF176" w14:textId="77777777" w:rsidR="00621FBB" w:rsidRPr="002822D7" w:rsidRDefault="00621FBB" w:rsidP="00621FBB">
            <w:pPr>
              <w:jc w:val="center"/>
              <w:rPr>
                <w:color w:val="000000"/>
                <w:sz w:val="22"/>
                <w:szCs w:val="22"/>
                <w:lang w:eastAsia="en-GB"/>
              </w:rPr>
            </w:pPr>
            <w:r w:rsidRPr="002822D7">
              <w:rPr>
                <w:color w:val="000000"/>
                <w:sz w:val="22"/>
                <w:szCs w:val="22"/>
                <w:lang w:eastAsia="en-GB"/>
              </w:rPr>
              <w:t>3,043</w:t>
            </w:r>
          </w:p>
        </w:tc>
        <w:tc>
          <w:tcPr>
            <w:tcW w:w="974" w:type="dxa"/>
            <w:shd w:val="clear" w:color="auto" w:fill="auto"/>
            <w:noWrap/>
            <w:vAlign w:val="center"/>
            <w:hideMark/>
          </w:tcPr>
          <w:p w14:paraId="2DC244C3" w14:textId="77777777" w:rsidR="00621FBB" w:rsidRPr="002822D7" w:rsidRDefault="00621FBB" w:rsidP="00621FBB">
            <w:pPr>
              <w:jc w:val="center"/>
              <w:rPr>
                <w:color w:val="000000"/>
                <w:sz w:val="22"/>
                <w:szCs w:val="22"/>
                <w:lang w:eastAsia="en-GB"/>
              </w:rPr>
            </w:pPr>
            <w:r w:rsidRPr="002822D7">
              <w:rPr>
                <w:color w:val="000000" w:themeColor="text1"/>
                <w:sz w:val="22"/>
                <w:szCs w:val="22"/>
                <w:lang w:eastAsia="en-GB"/>
              </w:rPr>
              <w:t>184</w:t>
            </w:r>
          </w:p>
        </w:tc>
        <w:tc>
          <w:tcPr>
            <w:tcW w:w="767" w:type="dxa"/>
            <w:shd w:val="clear" w:color="auto" w:fill="auto"/>
            <w:noWrap/>
            <w:vAlign w:val="center"/>
            <w:hideMark/>
          </w:tcPr>
          <w:p w14:paraId="10D4C14A" w14:textId="77777777" w:rsidR="00621FBB" w:rsidRPr="002822D7" w:rsidRDefault="00621FBB" w:rsidP="00621FBB">
            <w:pPr>
              <w:jc w:val="center"/>
              <w:rPr>
                <w:color w:val="000000"/>
                <w:sz w:val="22"/>
                <w:szCs w:val="22"/>
                <w:lang w:eastAsia="en-GB"/>
              </w:rPr>
            </w:pPr>
            <w:r w:rsidRPr="002822D7">
              <w:rPr>
                <w:color w:val="000000"/>
                <w:sz w:val="22"/>
                <w:szCs w:val="22"/>
                <w:lang w:eastAsia="en-GB"/>
              </w:rPr>
              <w:t>3,227</w:t>
            </w:r>
          </w:p>
        </w:tc>
        <w:tc>
          <w:tcPr>
            <w:tcW w:w="1180" w:type="dxa"/>
            <w:shd w:val="clear" w:color="auto" w:fill="auto"/>
            <w:noWrap/>
            <w:vAlign w:val="center"/>
            <w:hideMark/>
          </w:tcPr>
          <w:p w14:paraId="4D07DC32" w14:textId="77777777" w:rsidR="00621FBB" w:rsidRPr="002822D7" w:rsidRDefault="00621FBB" w:rsidP="00621FBB">
            <w:pPr>
              <w:jc w:val="center"/>
              <w:rPr>
                <w:sz w:val="22"/>
                <w:szCs w:val="22"/>
                <w:lang w:eastAsia="en-GB"/>
              </w:rPr>
            </w:pPr>
            <w:r w:rsidRPr="002822D7">
              <w:rPr>
                <w:sz w:val="22"/>
                <w:szCs w:val="22"/>
                <w:lang w:eastAsia="en-GB"/>
              </w:rPr>
              <w:t>39</w:t>
            </w:r>
          </w:p>
        </w:tc>
        <w:tc>
          <w:tcPr>
            <w:tcW w:w="1280" w:type="dxa"/>
            <w:shd w:val="clear" w:color="auto" w:fill="auto"/>
            <w:noWrap/>
            <w:vAlign w:val="center"/>
            <w:hideMark/>
          </w:tcPr>
          <w:p w14:paraId="4197395D" w14:textId="77777777" w:rsidR="00621FBB" w:rsidRPr="002822D7" w:rsidRDefault="00621FBB" w:rsidP="00621FBB">
            <w:pPr>
              <w:jc w:val="center"/>
              <w:rPr>
                <w:sz w:val="22"/>
                <w:szCs w:val="22"/>
                <w:lang w:eastAsia="en-GB"/>
              </w:rPr>
            </w:pPr>
            <w:r w:rsidRPr="002822D7">
              <w:rPr>
                <w:sz w:val="22"/>
                <w:szCs w:val="22"/>
                <w:lang w:eastAsia="en-GB"/>
              </w:rPr>
              <w:t>1.22%</w:t>
            </w:r>
          </w:p>
        </w:tc>
        <w:tc>
          <w:tcPr>
            <w:tcW w:w="1280" w:type="dxa"/>
            <w:shd w:val="clear" w:color="auto" w:fill="auto"/>
            <w:noWrap/>
            <w:vAlign w:val="center"/>
            <w:hideMark/>
          </w:tcPr>
          <w:p w14:paraId="61807E66" w14:textId="77777777" w:rsidR="00621FBB" w:rsidRPr="002822D7" w:rsidRDefault="00621FBB" w:rsidP="00621FBB">
            <w:pPr>
              <w:jc w:val="center"/>
              <w:rPr>
                <w:color w:val="000000"/>
                <w:sz w:val="22"/>
                <w:szCs w:val="22"/>
                <w:lang w:eastAsia="en-GB"/>
              </w:rPr>
            </w:pPr>
            <w:r w:rsidRPr="002822D7">
              <w:rPr>
                <w:color w:val="000000"/>
                <w:sz w:val="22"/>
                <w:szCs w:val="22"/>
                <w:lang w:eastAsia="en-GB"/>
              </w:rPr>
              <w:t>3,089</w:t>
            </w:r>
          </w:p>
        </w:tc>
        <w:tc>
          <w:tcPr>
            <w:tcW w:w="1060" w:type="dxa"/>
            <w:shd w:val="clear" w:color="auto" w:fill="auto"/>
            <w:noWrap/>
            <w:vAlign w:val="center"/>
            <w:hideMark/>
          </w:tcPr>
          <w:p w14:paraId="197DF230" w14:textId="77777777" w:rsidR="00621FBB" w:rsidRPr="002822D7" w:rsidRDefault="00621FBB" w:rsidP="00621FBB">
            <w:pPr>
              <w:jc w:val="center"/>
              <w:rPr>
                <w:color w:val="000000"/>
                <w:sz w:val="22"/>
                <w:szCs w:val="22"/>
                <w:lang w:eastAsia="en-GB"/>
              </w:rPr>
            </w:pPr>
            <w:r w:rsidRPr="002822D7">
              <w:rPr>
                <w:color w:val="000000"/>
                <w:sz w:val="22"/>
                <w:szCs w:val="22"/>
                <w:lang w:eastAsia="en-GB"/>
              </w:rPr>
              <w:t>95.7%</w:t>
            </w:r>
          </w:p>
        </w:tc>
      </w:tr>
      <w:tr w:rsidR="00621FBB" w:rsidRPr="002822D7" w14:paraId="1C2F2FD7" w14:textId="77777777" w:rsidTr="004F466D">
        <w:trPr>
          <w:trHeight w:val="300"/>
        </w:trPr>
        <w:tc>
          <w:tcPr>
            <w:tcW w:w="1220" w:type="dxa"/>
            <w:shd w:val="clear" w:color="auto" w:fill="auto"/>
            <w:noWrap/>
            <w:vAlign w:val="center"/>
            <w:hideMark/>
          </w:tcPr>
          <w:p w14:paraId="7497C41D" w14:textId="77777777" w:rsidR="00621FBB" w:rsidRPr="002822D7" w:rsidRDefault="00621FBB" w:rsidP="00621FBB">
            <w:pPr>
              <w:jc w:val="center"/>
              <w:rPr>
                <w:color w:val="000000"/>
                <w:sz w:val="22"/>
                <w:szCs w:val="22"/>
                <w:lang w:eastAsia="en-GB"/>
              </w:rPr>
            </w:pPr>
            <w:r w:rsidRPr="002822D7">
              <w:rPr>
                <w:color w:val="000000"/>
                <w:sz w:val="22"/>
                <w:szCs w:val="22"/>
                <w:lang w:eastAsia="en-GB"/>
              </w:rPr>
              <w:t>Sep-21</w:t>
            </w:r>
          </w:p>
        </w:tc>
        <w:tc>
          <w:tcPr>
            <w:tcW w:w="1146" w:type="dxa"/>
            <w:shd w:val="clear" w:color="auto" w:fill="auto"/>
            <w:noWrap/>
            <w:vAlign w:val="center"/>
            <w:hideMark/>
          </w:tcPr>
          <w:p w14:paraId="7D4B8936" w14:textId="77777777" w:rsidR="00621FBB" w:rsidRPr="002822D7" w:rsidRDefault="00621FBB" w:rsidP="00621FBB">
            <w:pPr>
              <w:jc w:val="center"/>
              <w:rPr>
                <w:color w:val="000000"/>
                <w:sz w:val="22"/>
                <w:szCs w:val="22"/>
                <w:lang w:eastAsia="en-GB"/>
              </w:rPr>
            </w:pPr>
            <w:r w:rsidRPr="002822D7">
              <w:rPr>
                <w:color w:val="000000"/>
                <w:sz w:val="22"/>
                <w:szCs w:val="22"/>
                <w:lang w:eastAsia="en-GB"/>
              </w:rPr>
              <w:t>2,864</w:t>
            </w:r>
          </w:p>
        </w:tc>
        <w:tc>
          <w:tcPr>
            <w:tcW w:w="974" w:type="dxa"/>
            <w:shd w:val="clear" w:color="auto" w:fill="auto"/>
            <w:noWrap/>
            <w:vAlign w:val="center"/>
            <w:hideMark/>
          </w:tcPr>
          <w:p w14:paraId="55DBE669" w14:textId="163B4D84" w:rsidR="00621FBB" w:rsidRPr="002822D7" w:rsidRDefault="004F466D" w:rsidP="00621FBB">
            <w:pPr>
              <w:jc w:val="center"/>
              <w:rPr>
                <w:color w:val="000000"/>
                <w:sz w:val="22"/>
                <w:szCs w:val="22"/>
                <w:lang w:eastAsia="en-GB"/>
              </w:rPr>
            </w:pPr>
            <w:r w:rsidRPr="002822D7">
              <w:rPr>
                <w:color w:val="000000"/>
                <w:sz w:val="22"/>
                <w:szCs w:val="22"/>
                <w:lang w:eastAsia="en-GB"/>
              </w:rPr>
              <w:t>311</w:t>
            </w:r>
          </w:p>
        </w:tc>
        <w:tc>
          <w:tcPr>
            <w:tcW w:w="767" w:type="dxa"/>
            <w:shd w:val="clear" w:color="auto" w:fill="auto"/>
            <w:noWrap/>
            <w:vAlign w:val="center"/>
            <w:hideMark/>
          </w:tcPr>
          <w:p w14:paraId="7023257B" w14:textId="77777777" w:rsidR="00621FBB" w:rsidRPr="002822D7" w:rsidRDefault="00621FBB" w:rsidP="00621FBB">
            <w:pPr>
              <w:jc w:val="center"/>
              <w:rPr>
                <w:color w:val="000000"/>
                <w:sz w:val="22"/>
                <w:szCs w:val="22"/>
                <w:lang w:eastAsia="en-GB"/>
              </w:rPr>
            </w:pPr>
            <w:r w:rsidRPr="002822D7">
              <w:rPr>
                <w:color w:val="000000"/>
                <w:sz w:val="22"/>
                <w:szCs w:val="22"/>
                <w:lang w:eastAsia="en-GB"/>
              </w:rPr>
              <w:t>3,142</w:t>
            </w:r>
          </w:p>
        </w:tc>
        <w:tc>
          <w:tcPr>
            <w:tcW w:w="1180" w:type="dxa"/>
            <w:shd w:val="clear" w:color="auto" w:fill="auto"/>
            <w:noWrap/>
            <w:vAlign w:val="center"/>
            <w:hideMark/>
          </w:tcPr>
          <w:p w14:paraId="0F61C9A3" w14:textId="3D875541" w:rsidR="00621FBB" w:rsidRPr="002822D7" w:rsidRDefault="00621FBB" w:rsidP="00621FBB">
            <w:pPr>
              <w:jc w:val="center"/>
              <w:rPr>
                <w:sz w:val="22"/>
                <w:szCs w:val="22"/>
                <w:lang w:eastAsia="en-GB"/>
              </w:rPr>
            </w:pPr>
            <w:r w:rsidRPr="002822D7">
              <w:rPr>
                <w:sz w:val="22"/>
                <w:szCs w:val="22"/>
                <w:lang w:eastAsia="en-GB"/>
              </w:rPr>
              <w:t>-5</w:t>
            </w:r>
            <w:r w:rsidR="004F466D" w:rsidRPr="002822D7">
              <w:rPr>
                <w:sz w:val="22"/>
                <w:szCs w:val="22"/>
                <w:lang w:eastAsia="en-GB"/>
              </w:rPr>
              <w:t>2</w:t>
            </w:r>
          </w:p>
        </w:tc>
        <w:tc>
          <w:tcPr>
            <w:tcW w:w="1280" w:type="dxa"/>
            <w:shd w:val="clear" w:color="auto" w:fill="auto"/>
            <w:noWrap/>
            <w:vAlign w:val="center"/>
            <w:hideMark/>
          </w:tcPr>
          <w:p w14:paraId="35811FB3" w14:textId="19E84E3D" w:rsidR="00621FBB" w:rsidRPr="002822D7" w:rsidRDefault="00621FBB" w:rsidP="00621FBB">
            <w:pPr>
              <w:jc w:val="center"/>
              <w:rPr>
                <w:sz w:val="22"/>
                <w:szCs w:val="22"/>
                <w:lang w:eastAsia="en-GB"/>
              </w:rPr>
            </w:pPr>
            <w:r w:rsidRPr="002822D7">
              <w:rPr>
                <w:sz w:val="22"/>
                <w:szCs w:val="22"/>
                <w:lang w:eastAsia="en-GB"/>
              </w:rPr>
              <w:t>-</w:t>
            </w:r>
            <w:r w:rsidR="004F466D" w:rsidRPr="002822D7">
              <w:rPr>
                <w:sz w:val="22"/>
                <w:szCs w:val="22"/>
                <w:lang w:eastAsia="en-GB"/>
              </w:rPr>
              <w:t>1</w:t>
            </w:r>
            <w:r w:rsidRPr="002822D7">
              <w:rPr>
                <w:sz w:val="22"/>
                <w:szCs w:val="22"/>
                <w:lang w:eastAsia="en-GB"/>
              </w:rPr>
              <w:t>.6</w:t>
            </w:r>
            <w:r w:rsidR="004F466D" w:rsidRPr="002822D7">
              <w:rPr>
                <w:sz w:val="22"/>
                <w:szCs w:val="22"/>
                <w:lang w:eastAsia="en-GB"/>
              </w:rPr>
              <w:t>1</w:t>
            </w:r>
            <w:r w:rsidRPr="002822D7">
              <w:rPr>
                <w:sz w:val="22"/>
                <w:szCs w:val="22"/>
                <w:lang w:eastAsia="en-GB"/>
              </w:rPr>
              <w:t>%</w:t>
            </w:r>
          </w:p>
        </w:tc>
        <w:tc>
          <w:tcPr>
            <w:tcW w:w="1280" w:type="dxa"/>
            <w:shd w:val="clear" w:color="auto" w:fill="auto"/>
            <w:noWrap/>
            <w:vAlign w:val="center"/>
            <w:hideMark/>
          </w:tcPr>
          <w:p w14:paraId="35A9D352" w14:textId="1EEC3A33" w:rsidR="00621FBB" w:rsidRPr="002822D7" w:rsidRDefault="004F466D" w:rsidP="00621FBB">
            <w:pPr>
              <w:jc w:val="center"/>
              <w:rPr>
                <w:i/>
                <w:iCs/>
                <w:color w:val="000000"/>
                <w:sz w:val="22"/>
                <w:szCs w:val="22"/>
                <w:lang w:eastAsia="en-GB"/>
              </w:rPr>
            </w:pPr>
            <w:r w:rsidRPr="002822D7">
              <w:rPr>
                <w:color w:val="000000"/>
                <w:sz w:val="22"/>
                <w:szCs w:val="22"/>
                <w:lang w:eastAsia="en-GB"/>
              </w:rPr>
              <w:t>3,048</w:t>
            </w:r>
          </w:p>
        </w:tc>
        <w:tc>
          <w:tcPr>
            <w:tcW w:w="1060" w:type="dxa"/>
            <w:shd w:val="clear" w:color="auto" w:fill="auto"/>
            <w:noWrap/>
            <w:vAlign w:val="center"/>
            <w:hideMark/>
          </w:tcPr>
          <w:p w14:paraId="4F1CBA98" w14:textId="2AA914DA" w:rsidR="00621FBB" w:rsidRPr="002822D7" w:rsidRDefault="00621FBB" w:rsidP="00621FBB">
            <w:pPr>
              <w:jc w:val="center"/>
              <w:rPr>
                <w:color w:val="000000"/>
                <w:sz w:val="22"/>
                <w:szCs w:val="22"/>
                <w:lang w:eastAsia="en-GB"/>
              </w:rPr>
            </w:pPr>
            <w:r w:rsidRPr="002822D7">
              <w:rPr>
                <w:color w:val="000000"/>
                <w:sz w:val="22"/>
                <w:szCs w:val="22"/>
                <w:lang w:eastAsia="en-GB"/>
              </w:rPr>
              <w:t>9</w:t>
            </w:r>
            <w:r w:rsidR="004F466D" w:rsidRPr="002822D7">
              <w:rPr>
                <w:color w:val="000000"/>
                <w:sz w:val="22"/>
                <w:szCs w:val="22"/>
                <w:lang w:eastAsia="en-GB"/>
              </w:rPr>
              <w:t>6</w:t>
            </w:r>
            <w:r w:rsidRPr="002822D7">
              <w:rPr>
                <w:color w:val="000000"/>
                <w:sz w:val="22"/>
                <w:szCs w:val="22"/>
                <w:lang w:eastAsia="en-GB"/>
              </w:rPr>
              <w:t>.</w:t>
            </w:r>
            <w:r w:rsidR="004F466D" w:rsidRPr="002822D7">
              <w:rPr>
                <w:color w:val="000000"/>
                <w:sz w:val="22"/>
                <w:szCs w:val="22"/>
                <w:lang w:eastAsia="en-GB"/>
              </w:rPr>
              <w:t>0</w:t>
            </w:r>
            <w:r w:rsidRPr="002822D7">
              <w:rPr>
                <w:color w:val="000000"/>
                <w:sz w:val="22"/>
                <w:szCs w:val="22"/>
                <w:lang w:eastAsia="en-GB"/>
              </w:rPr>
              <w:t>%</w:t>
            </w:r>
          </w:p>
        </w:tc>
      </w:tr>
      <w:tr w:rsidR="004F466D" w:rsidRPr="002822D7" w14:paraId="1A1B6805" w14:textId="77777777" w:rsidTr="004F466D">
        <w:trPr>
          <w:trHeight w:val="300"/>
        </w:trPr>
        <w:tc>
          <w:tcPr>
            <w:tcW w:w="1220" w:type="dxa"/>
            <w:shd w:val="clear" w:color="auto" w:fill="auto"/>
            <w:noWrap/>
            <w:vAlign w:val="center"/>
          </w:tcPr>
          <w:p w14:paraId="7329FF68" w14:textId="1DF2C27F" w:rsidR="004F466D" w:rsidRPr="002822D7" w:rsidRDefault="004F466D" w:rsidP="00621FBB">
            <w:pPr>
              <w:jc w:val="center"/>
              <w:rPr>
                <w:color w:val="000000"/>
                <w:sz w:val="22"/>
                <w:szCs w:val="22"/>
                <w:lang w:eastAsia="en-GB"/>
              </w:rPr>
            </w:pPr>
            <w:r w:rsidRPr="002822D7">
              <w:rPr>
                <w:color w:val="000000"/>
                <w:sz w:val="22"/>
                <w:szCs w:val="22"/>
                <w:lang w:eastAsia="en-GB"/>
              </w:rPr>
              <w:t>Sep-22</w:t>
            </w:r>
          </w:p>
        </w:tc>
        <w:tc>
          <w:tcPr>
            <w:tcW w:w="1146" w:type="dxa"/>
            <w:shd w:val="clear" w:color="auto" w:fill="auto"/>
            <w:noWrap/>
            <w:vAlign w:val="center"/>
          </w:tcPr>
          <w:p w14:paraId="2D382D72" w14:textId="77C3F693" w:rsidR="004F466D" w:rsidRPr="002822D7" w:rsidRDefault="004F466D" w:rsidP="00621FBB">
            <w:pPr>
              <w:jc w:val="center"/>
              <w:rPr>
                <w:color w:val="000000"/>
                <w:sz w:val="22"/>
                <w:szCs w:val="22"/>
                <w:lang w:eastAsia="en-GB"/>
              </w:rPr>
            </w:pPr>
            <w:r w:rsidRPr="002822D7">
              <w:rPr>
                <w:color w:val="000000"/>
                <w:sz w:val="22"/>
                <w:szCs w:val="22"/>
                <w:lang w:eastAsia="en-GB"/>
              </w:rPr>
              <w:t>2,972</w:t>
            </w:r>
          </w:p>
        </w:tc>
        <w:tc>
          <w:tcPr>
            <w:tcW w:w="974" w:type="dxa"/>
            <w:shd w:val="clear" w:color="auto" w:fill="auto"/>
            <w:noWrap/>
            <w:vAlign w:val="center"/>
          </w:tcPr>
          <w:p w14:paraId="5F344135" w14:textId="44312645" w:rsidR="004F466D" w:rsidRPr="002822D7" w:rsidRDefault="004F466D" w:rsidP="00621FBB">
            <w:pPr>
              <w:jc w:val="center"/>
              <w:rPr>
                <w:color w:val="000000"/>
                <w:sz w:val="22"/>
                <w:szCs w:val="22"/>
                <w:lang w:eastAsia="en-GB"/>
              </w:rPr>
            </w:pPr>
            <w:r w:rsidRPr="002822D7">
              <w:rPr>
                <w:color w:val="000000"/>
                <w:sz w:val="22"/>
                <w:szCs w:val="22"/>
                <w:lang w:eastAsia="en-GB"/>
              </w:rPr>
              <w:t>278</w:t>
            </w:r>
          </w:p>
        </w:tc>
        <w:tc>
          <w:tcPr>
            <w:tcW w:w="767" w:type="dxa"/>
            <w:shd w:val="clear" w:color="auto" w:fill="auto"/>
            <w:noWrap/>
            <w:vAlign w:val="center"/>
          </w:tcPr>
          <w:p w14:paraId="72B68370" w14:textId="14539D71" w:rsidR="004F466D" w:rsidRPr="002822D7" w:rsidRDefault="004F466D" w:rsidP="00621FBB">
            <w:pPr>
              <w:jc w:val="center"/>
              <w:rPr>
                <w:color w:val="000000"/>
                <w:sz w:val="22"/>
                <w:szCs w:val="22"/>
                <w:lang w:eastAsia="en-GB"/>
              </w:rPr>
            </w:pPr>
            <w:r w:rsidRPr="002822D7">
              <w:rPr>
                <w:color w:val="000000"/>
                <w:sz w:val="22"/>
                <w:szCs w:val="22"/>
                <w:lang w:eastAsia="en-GB"/>
              </w:rPr>
              <w:t>3,250</w:t>
            </w:r>
          </w:p>
        </w:tc>
        <w:tc>
          <w:tcPr>
            <w:tcW w:w="1180" w:type="dxa"/>
            <w:shd w:val="clear" w:color="auto" w:fill="auto"/>
            <w:noWrap/>
            <w:vAlign w:val="center"/>
          </w:tcPr>
          <w:p w14:paraId="5EDD632F" w14:textId="3A93C8E3" w:rsidR="004F466D" w:rsidRPr="002822D7" w:rsidRDefault="004F466D" w:rsidP="00621FBB">
            <w:pPr>
              <w:jc w:val="center"/>
              <w:rPr>
                <w:sz w:val="22"/>
                <w:szCs w:val="22"/>
                <w:lang w:eastAsia="en-GB"/>
              </w:rPr>
            </w:pPr>
            <w:r w:rsidRPr="002822D7">
              <w:rPr>
                <w:sz w:val="22"/>
                <w:szCs w:val="22"/>
                <w:lang w:eastAsia="en-GB"/>
              </w:rPr>
              <w:t>75</w:t>
            </w:r>
          </w:p>
        </w:tc>
        <w:tc>
          <w:tcPr>
            <w:tcW w:w="1280" w:type="dxa"/>
            <w:shd w:val="clear" w:color="auto" w:fill="auto"/>
            <w:noWrap/>
            <w:vAlign w:val="center"/>
          </w:tcPr>
          <w:p w14:paraId="6E32F9E2" w14:textId="1562300F" w:rsidR="004F466D" w:rsidRPr="002822D7" w:rsidRDefault="004F466D" w:rsidP="00621FBB">
            <w:pPr>
              <w:jc w:val="center"/>
              <w:rPr>
                <w:sz w:val="22"/>
                <w:szCs w:val="22"/>
                <w:lang w:eastAsia="en-GB"/>
              </w:rPr>
            </w:pPr>
            <w:r w:rsidRPr="002822D7">
              <w:rPr>
                <w:sz w:val="22"/>
                <w:szCs w:val="22"/>
                <w:lang w:eastAsia="en-GB"/>
              </w:rPr>
              <w:t>2.36%</w:t>
            </w:r>
          </w:p>
        </w:tc>
        <w:tc>
          <w:tcPr>
            <w:tcW w:w="1280" w:type="dxa"/>
            <w:shd w:val="clear" w:color="auto" w:fill="auto"/>
            <w:noWrap/>
            <w:vAlign w:val="center"/>
          </w:tcPr>
          <w:p w14:paraId="34A93DF3" w14:textId="548EBCD3" w:rsidR="004F466D" w:rsidRPr="004726A0" w:rsidRDefault="004F466D" w:rsidP="004F466D">
            <w:pPr>
              <w:jc w:val="center"/>
              <w:rPr>
                <w:color w:val="000000"/>
                <w:sz w:val="22"/>
                <w:szCs w:val="22"/>
                <w:lang w:eastAsia="en-GB"/>
              </w:rPr>
            </w:pPr>
            <w:r w:rsidRPr="004726A0">
              <w:rPr>
                <w:color w:val="000000"/>
                <w:sz w:val="22"/>
                <w:szCs w:val="22"/>
                <w:lang w:eastAsia="en-GB"/>
              </w:rPr>
              <w:t>3,1</w:t>
            </w:r>
            <w:r w:rsidR="004726A0" w:rsidRPr="004726A0">
              <w:rPr>
                <w:color w:val="000000"/>
                <w:sz w:val="22"/>
                <w:szCs w:val="22"/>
                <w:lang w:eastAsia="en-GB"/>
              </w:rPr>
              <w:t>62</w:t>
            </w:r>
          </w:p>
        </w:tc>
        <w:tc>
          <w:tcPr>
            <w:tcW w:w="1060" w:type="dxa"/>
            <w:shd w:val="clear" w:color="auto" w:fill="auto"/>
            <w:noWrap/>
            <w:vAlign w:val="center"/>
          </w:tcPr>
          <w:p w14:paraId="5BBA6E04" w14:textId="2B44576D" w:rsidR="004F466D" w:rsidRPr="004726A0" w:rsidRDefault="004F466D" w:rsidP="00621FBB">
            <w:pPr>
              <w:jc w:val="center"/>
              <w:rPr>
                <w:color w:val="000000"/>
                <w:sz w:val="22"/>
                <w:szCs w:val="22"/>
                <w:lang w:eastAsia="en-GB"/>
              </w:rPr>
            </w:pPr>
            <w:r w:rsidRPr="004726A0">
              <w:rPr>
                <w:color w:val="000000"/>
                <w:sz w:val="22"/>
                <w:szCs w:val="22"/>
                <w:lang w:eastAsia="en-GB"/>
              </w:rPr>
              <w:t>9</w:t>
            </w:r>
            <w:r w:rsidR="004726A0">
              <w:rPr>
                <w:color w:val="000000"/>
                <w:sz w:val="22"/>
                <w:szCs w:val="22"/>
                <w:lang w:eastAsia="en-GB"/>
              </w:rPr>
              <w:t>7</w:t>
            </w:r>
            <w:r w:rsidRPr="004726A0">
              <w:rPr>
                <w:color w:val="000000"/>
                <w:sz w:val="22"/>
                <w:szCs w:val="22"/>
                <w:lang w:eastAsia="en-GB"/>
              </w:rPr>
              <w:t>.</w:t>
            </w:r>
            <w:r w:rsidR="004726A0">
              <w:rPr>
                <w:color w:val="000000"/>
                <w:sz w:val="22"/>
                <w:szCs w:val="22"/>
                <w:lang w:eastAsia="en-GB"/>
              </w:rPr>
              <w:t>3</w:t>
            </w:r>
            <w:r w:rsidRPr="004726A0">
              <w:rPr>
                <w:color w:val="000000"/>
                <w:sz w:val="22"/>
                <w:szCs w:val="22"/>
                <w:lang w:eastAsia="en-GB"/>
              </w:rPr>
              <w:t>%</w:t>
            </w:r>
          </w:p>
        </w:tc>
      </w:tr>
      <w:tr w:rsidR="004E4847" w:rsidRPr="002822D7" w14:paraId="5DB476C7" w14:textId="77777777" w:rsidTr="004F466D">
        <w:trPr>
          <w:trHeight w:val="300"/>
        </w:trPr>
        <w:tc>
          <w:tcPr>
            <w:tcW w:w="1220" w:type="dxa"/>
            <w:shd w:val="clear" w:color="auto" w:fill="auto"/>
            <w:noWrap/>
            <w:vAlign w:val="center"/>
          </w:tcPr>
          <w:p w14:paraId="14D18604" w14:textId="22CAA1A7" w:rsidR="004E4847" w:rsidRPr="002822D7" w:rsidRDefault="004E4847" w:rsidP="00621FBB">
            <w:pPr>
              <w:jc w:val="center"/>
              <w:rPr>
                <w:color w:val="000000"/>
                <w:sz w:val="22"/>
                <w:szCs w:val="22"/>
                <w:lang w:eastAsia="en-GB"/>
              </w:rPr>
            </w:pPr>
            <w:r>
              <w:rPr>
                <w:color w:val="000000"/>
                <w:sz w:val="22"/>
                <w:szCs w:val="22"/>
                <w:lang w:eastAsia="en-GB"/>
              </w:rPr>
              <w:t>Sep-23</w:t>
            </w:r>
          </w:p>
        </w:tc>
        <w:tc>
          <w:tcPr>
            <w:tcW w:w="1146" w:type="dxa"/>
            <w:shd w:val="clear" w:color="auto" w:fill="auto"/>
            <w:noWrap/>
            <w:vAlign w:val="center"/>
          </w:tcPr>
          <w:p w14:paraId="450EFFF3" w14:textId="1A55D19A" w:rsidR="004E4847" w:rsidRPr="002822D7" w:rsidRDefault="004E4847" w:rsidP="00621FBB">
            <w:pPr>
              <w:jc w:val="center"/>
              <w:rPr>
                <w:color w:val="000000"/>
                <w:sz w:val="22"/>
                <w:szCs w:val="22"/>
                <w:lang w:eastAsia="en-GB"/>
              </w:rPr>
            </w:pPr>
            <w:r>
              <w:rPr>
                <w:color w:val="000000"/>
                <w:sz w:val="22"/>
                <w:szCs w:val="22"/>
                <w:lang w:eastAsia="en-GB"/>
              </w:rPr>
              <w:t>2,771</w:t>
            </w:r>
          </w:p>
        </w:tc>
        <w:tc>
          <w:tcPr>
            <w:tcW w:w="974" w:type="dxa"/>
            <w:shd w:val="clear" w:color="auto" w:fill="auto"/>
            <w:noWrap/>
            <w:vAlign w:val="center"/>
          </w:tcPr>
          <w:p w14:paraId="6B7DE577" w14:textId="7735201F" w:rsidR="004E4847" w:rsidRPr="002822D7" w:rsidRDefault="004E4847" w:rsidP="00621FBB">
            <w:pPr>
              <w:jc w:val="center"/>
              <w:rPr>
                <w:color w:val="000000"/>
                <w:sz w:val="22"/>
                <w:szCs w:val="22"/>
                <w:lang w:eastAsia="en-GB"/>
              </w:rPr>
            </w:pPr>
            <w:r>
              <w:rPr>
                <w:color w:val="000000"/>
                <w:sz w:val="22"/>
                <w:szCs w:val="22"/>
                <w:lang w:eastAsia="en-GB"/>
              </w:rPr>
              <w:t>321</w:t>
            </w:r>
          </w:p>
        </w:tc>
        <w:tc>
          <w:tcPr>
            <w:tcW w:w="767" w:type="dxa"/>
            <w:shd w:val="clear" w:color="auto" w:fill="auto"/>
            <w:noWrap/>
            <w:vAlign w:val="center"/>
          </w:tcPr>
          <w:p w14:paraId="57D8FE6A" w14:textId="2925CEAD" w:rsidR="004E4847" w:rsidRPr="002822D7" w:rsidRDefault="004E4847" w:rsidP="00621FBB">
            <w:pPr>
              <w:jc w:val="center"/>
              <w:rPr>
                <w:color w:val="000000"/>
                <w:sz w:val="22"/>
                <w:szCs w:val="22"/>
                <w:lang w:eastAsia="en-GB"/>
              </w:rPr>
            </w:pPr>
            <w:r>
              <w:rPr>
                <w:color w:val="000000"/>
                <w:sz w:val="22"/>
                <w:szCs w:val="22"/>
                <w:lang w:eastAsia="en-GB"/>
              </w:rPr>
              <w:t>3,092***</w:t>
            </w:r>
          </w:p>
        </w:tc>
        <w:tc>
          <w:tcPr>
            <w:tcW w:w="1180" w:type="dxa"/>
            <w:shd w:val="clear" w:color="auto" w:fill="auto"/>
            <w:noWrap/>
            <w:vAlign w:val="center"/>
          </w:tcPr>
          <w:p w14:paraId="3AA50FD6" w14:textId="0137D200" w:rsidR="004E4847" w:rsidRPr="002822D7" w:rsidRDefault="004726A0" w:rsidP="00621FBB">
            <w:pPr>
              <w:jc w:val="center"/>
              <w:rPr>
                <w:sz w:val="22"/>
                <w:szCs w:val="22"/>
                <w:lang w:eastAsia="en-GB"/>
              </w:rPr>
            </w:pPr>
            <w:r>
              <w:rPr>
                <w:sz w:val="22"/>
                <w:szCs w:val="22"/>
                <w:lang w:eastAsia="en-GB"/>
              </w:rPr>
              <w:t>-158</w:t>
            </w:r>
          </w:p>
        </w:tc>
        <w:tc>
          <w:tcPr>
            <w:tcW w:w="1280" w:type="dxa"/>
            <w:shd w:val="clear" w:color="auto" w:fill="auto"/>
            <w:noWrap/>
            <w:vAlign w:val="center"/>
          </w:tcPr>
          <w:p w14:paraId="695D4AB9" w14:textId="6F98D6AA" w:rsidR="004E4847" w:rsidRPr="002822D7" w:rsidRDefault="004726A0" w:rsidP="00621FBB">
            <w:pPr>
              <w:jc w:val="center"/>
              <w:rPr>
                <w:sz w:val="22"/>
                <w:szCs w:val="22"/>
                <w:lang w:eastAsia="en-GB"/>
              </w:rPr>
            </w:pPr>
            <w:r>
              <w:rPr>
                <w:sz w:val="22"/>
                <w:szCs w:val="22"/>
                <w:lang w:eastAsia="en-GB"/>
              </w:rPr>
              <w:t>-4.9%</w:t>
            </w:r>
          </w:p>
        </w:tc>
        <w:tc>
          <w:tcPr>
            <w:tcW w:w="1280" w:type="dxa"/>
            <w:shd w:val="clear" w:color="auto" w:fill="auto"/>
            <w:noWrap/>
            <w:vAlign w:val="center"/>
          </w:tcPr>
          <w:p w14:paraId="3B088E13" w14:textId="4A42179A" w:rsidR="004E4847" w:rsidRPr="002822D7" w:rsidRDefault="004726A0" w:rsidP="004F466D">
            <w:pPr>
              <w:jc w:val="center"/>
              <w:rPr>
                <w:i/>
                <w:iCs/>
                <w:color w:val="000000"/>
                <w:sz w:val="22"/>
                <w:szCs w:val="22"/>
                <w:lang w:eastAsia="en-GB"/>
              </w:rPr>
            </w:pPr>
            <w:r>
              <w:rPr>
                <w:i/>
                <w:iCs/>
                <w:color w:val="000000"/>
                <w:sz w:val="22"/>
                <w:szCs w:val="22"/>
                <w:lang w:eastAsia="en-GB"/>
              </w:rPr>
              <w:t>3,076</w:t>
            </w:r>
          </w:p>
        </w:tc>
        <w:tc>
          <w:tcPr>
            <w:tcW w:w="1060" w:type="dxa"/>
            <w:shd w:val="clear" w:color="auto" w:fill="auto"/>
            <w:noWrap/>
            <w:vAlign w:val="center"/>
          </w:tcPr>
          <w:p w14:paraId="523F33D6" w14:textId="7611C9F5" w:rsidR="004E4847" w:rsidRPr="002822D7" w:rsidRDefault="004726A0" w:rsidP="00621FBB">
            <w:pPr>
              <w:jc w:val="center"/>
              <w:rPr>
                <w:i/>
                <w:iCs/>
                <w:color w:val="000000"/>
                <w:sz w:val="22"/>
                <w:szCs w:val="22"/>
                <w:lang w:eastAsia="en-GB"/>
              </w:rPr>
            </w:pPr>
            <w:r>
              <w:rPr>
                <w:i/>
                <w:iCs/>
                <w:color w:val="000000"/>
                <w:sz w:val="22"/>
                <w:szCs w:val="22"/>
                <w:lang w:eastAsia="en-GB"/>
              </w:rPr>
              <w:t>99.5%</w:t>
            </w:r>
          </w:p>
        </w:tc>
      </w:tr>
    </w:tbl>
    <w:p w14:paraId="256A596C" w14:textId="77777777" w:rsidR="00621FBB" w:rsidRPr="002822D7" w:rsidRDefault="00621FBB" w:rsidP="00621FBB">
      <w:pPr>
        <w:rPr>
          <w:sz w:val="20"/>
          <w:szCs w:val="20"/>
        </w:rPr>
      </w:pPr>
      <w:r w:rsidRPr="002822D7">
        <w:rPr>
          <w:sz w:val="20"/>
          <w:szCs w:val="20"/>
        </w:rPr>
        <w:t>* On-time applications are the data from the DfE returns submitted on offer day.</w:t>
      </w:r>
    </w:p>
    <w:p w14:paraId="7BF53F93" w14:textId="77777777" w:rsidR="00621FBB" w:rsidRPr="002822D7" w:rsidRDefault="00621FBB" w:rsidP="00621FBB">
      <w:pPr>
        <w:rPr>
          <w:sz w:val="20"/>
          <w:szCs w:val="20"/>
        </w:rPr>
      </w:pPr>
      <w:r w:rsidRPr="002822D7">
        <w:rPr>
          <w:sz w:val="20"/>
          <w:szCs w:val="20"/>
        </w:rPr>
        <w:t>** Lates are the number of on-time applications subtracted from the total home (Harrow) applications on the Capita One system.  (Note: if the home address of the pupil has changed to an address outside Harrow since the application, this may deflate the total number of late applications)</w:t>
      </w:r>
    </w:p>
    <w:p w14:paraId="0A94E537" w14:textId="5E3164A5" w:rsidR="00621FBB" w:rsidRPr="002822D7" w:rsidRDefault="00621FBB" w:rsidP="00621FBB">
      <w:pPr>
        <w:rPr>
          <w:sz w:val="20"/>
          <w:szCs w:val="20"/>
        </w:rPr>
      </w:pPr>
      <w:r w:rsidRPr="002822D7">
        <w:rPr>
          <w:sz w:val="20"/>
          <w:szCs w:val="20"/>
        </w:rPr>
        <w:t xml:space="preserve">*** As </w:t>
      </w:r>
      <w:proofErr w:type="gramStart"/>
      <w:r w:rsidRPr="002822D7">
        <w:rPr>
          <w:sz w:val="20"/>
          <w:szCs w:val="20"/>
        </w:rPr>
        <w:t>at</w:t>
      </w:r>
      <w:proofErr w:type="gramEnd"/>
      <w:r w:rsidRPr="002822D7">
        <w:rPr>
          <w:sz w:val="20"/>
          <w:szCs w:val="20"/>
        </w:rPr>
        <w:t xml:space="preserve"> 1</w:t>
      </w:r>
      <w:r w:rsidR="004E4847">
        <w:rPr>
          <w:sz w:val="20"/>
          <w:szCs w:val="20"/>
        </w:rPr>
        <w:t>0 August 2023</w:t>
      </w:r>
    </w:p>
    <w:p w14:paraId="3488DE34" w14:textId="01C145F0" w:rsidR="00621FBB" w:rsidRPr="002822D7" w:rsidRDefault="00621FBB" w:rsidP="00340B1D"/>
    <w:p w14:paraId="6EA4C1E1" w14:textId="77777777" w:rsidR="00621FBB" w:rsidRPr="002822D7" w:rsidRDefault="00621FBB" w:rsidP="00340B1D"/>
    <w:p w14:paraId="3661CC34" w14:textId="77777777" w:rsidR="00340B1D" w:rsidRPr="002822D7" w:rsidRDefault="00340B1D" w:rsidP="00340B1D">
      <w:pPr>
        <w:rPr>
          <w:lang w:eastAsia="en-GB"/>
        </w:rPr>
      </w:pPr>
    </w:p>
    <w:p w14:paraId="60E3A8C0" w14:textId="4C2C0E93" w:rsidR="00340B1D" w:rsidRPr="002822D7" w:rsidRDefault="00340B1D" w:rsidP="00340B1D">
      <w:pPr>
        <w:pStyle w:val="Heading6"/>
        <w:autoSpaceDE/>
        <w:autoSpaceDN/>
        <w:adjustRightInd/>
      </w:pPr>
      <w:r w:rsidRPr="002822D7">
        <w:lastRenderedPageBreak/>
        <w:t>Year 7 intake</w:t>
      </w:r>
    </w:p>
    <w:p w14:paraId="18CDC0FE" w14:textId="77777777" w:rsidR="00340B1D" w:rsidRPr="002822D7" w:rsidRDefault="00340B1D" w:rsidP="00340B1D"/>
    <w:p w14:paraId="287191B0" w14:textId="77777777" w:rsidR="00340B1D" w:rsidRPr="002822D7" w:rsidRDefault="00340B1D" w:rsidP="00340B1D">
      <w:pPr>
        <w:rPr>
          <w:b/>
        </w:rPr>
      </w:pPr>
      <w:r w:rsidRPr="002822D7">
        <w:rPr>
          <w:b/>
        </w:rPr>
        <w:t>Harrow Residents</w:t>
      </w:r>
    </w:p>
    <w:p w14:paraId="3ED51341" w14:textId="77777777" w:rsidR="00BA15B6" w:rsidRPr="00AF4FC4" w:rsidRDefault="00BA15B6" w:rsidP="00BA15B6">
      <w:r w:rsidRPr="00AF4FC4">
        <w:t>Admissions received 3,0</w:t>
      </w:r>
      <w:r>
        <w:t>53</w:t>
      </w:r>
      <w:r w:rsidRPr="00AF4FC4">
        <w:t xml:space="preserve"> applications (as </w:t>
      </w:r>
      <w:proofErr w:type="gramStart"/>
      <w:r w:rsidRPr="00AF4FC4">
        <w:t>at</w:t>
      </w:r>
      <w:proofErr w:type="gramEnd"/>
      <w:r w:rsidRPr="00AF4FC4">
        <w:t xml:space="preserve"> 1</w:t>
      </w:r>
      <w:r>
        <w:t>0</w:t>
      </w:r>
      <w:r w:rsidRPr="00AF4FC4">
        <w:t xml:space="preserve"> </w:t>
      </w:r>
      <w:r>
        <w:t xml:space="preserve">August </w:t>
      </w:r>
      <w:r w:rsidRPr="00AF4FC4">
        <w:t>202</w:t>
      </w:r>
      <w:r>
        <w:t>3</w:t>
      </w:r>
      <w:r w:rsidRPr="00AF4FC4">
        <w:t xml:space="preserve">) </w:t>
      </w:r>
      <w:r w:rsidRPr="00AF4FC4">
        <w:rPr>
          <w:b/>
        </w:rPr>
        <w:t>from Harrow residents</w:t>
      </w:r>
      <w:r w:rsidRPr="00AF4FC4">
        <w:t xml:space="preserve"> for a September 202</w:t>
      </w:r>
      <w:r>
        <w:t>3</w:t>
      </w:r>
      <w:r w:rsidRPr="00AF4FC4">
        <w:t xml:space="preserve"> year 7 school place; this includes applications for Harrow schools and out of borough schools and grammar schools.  </w:t>
      </w:r>
    </w:p>
    <w:p w14:paraId="0F508679" w14:textId="77777777" w:rsidR="00BA15B6" w:rsidRPr="00AF4FC4" w:rsidRDefault="00BA15B6" w:rsidP="00BA15B6"/>
    <w:p w14:paraId="1F438BFA" w14:textId="141EBFC1" w:rsidR="00BA15B6" w:rsidRPr="00AF4FC4" w:rsidRDefault="00BA15B6" w:rsidP="00BA15B6">
      <w:r>
        <w:t xml:space="preserve">The </w:t>
      </w:r>
      <w:r w:rsidRPr="00AF4FC4">
        <w:t xml:space="preserve">Table </w:t>
      </w:r>
      <w:r w:rsidR="00117CFE">
        <w:t xml:space="preserve">5 </w:t>
      </w:r>
      <w:r w:rsidRPr="00AF4FC4">
        <w:t xml:space="preserve">below shows the increase in the total number of applications over the last few years.  It also illustrates the difference between the number of offers made and the take up of places as measured by the DfE School Census in January.  The take-up rate </w:t>
      </w:r>
      <w:r>
        <w:t xml:space="preserve">has </w:t>
      </w:r>
      <w:r w:rsidRPr="00AF4FC4">
        <w:t xml:space="preserve">remained at or just above 81% </w:t>
      </w:r>
      <w:r>
        <w:t xml:space="preserve">since September </w:t>
      </w:r>
      <w:r w:rsidRPr="00AF4FC4">
        <w:t>2013</w:t>
      </w:r>
      <w:r>
        <w:t>, however it has fluctuated since then as can be seen in the table below.</w:t>
      </w:r>
      <w:r w:rsidRPr="00AF4FC4">
        <w:t xml:space="preserve">  The </w:t>
      </w:r>
      <w:r>
        <w:t xml:space="preserve">most recent </w:t>
      </w:r>
      <w:r w:rsidRPr="00AF4FC4">
        <w:t>take-up rate increas</w:t>
      </w:r>
      <w:r>
        <w:t>ed</w:t>
      </w:r>
      <w:r w:rsidRPr="00AF4FC4">
        <w:t xml:space="preserve"> to 8</w:t>
      </w:r>
      <w:r>
        <w:t>9</w:t>
      </w:r>
      <w:r w:rsidRPr="00AF4FC4">
        <w:t>% in September 20</w:t>
      </w:r>
      <w:r>
        <w:t>23</w:t>
      </w:r>
      <w:r w:rsidRPr="00AF4FC4">
        <w:t>.</w:t>
      </w:r>
    </w:p>
    <w:p w14:paraId="4C051410" w14:textId="17BCBE16" w:rsidR="00340B1D" w:rsidRPr="002822D7" w:rsidRDefault="00340B1D" w:rsidP="00340B1D"/>
    <w:p w14:paraId="12008A5B" w14:textId="42E829C3" w:rsidR="00340B1D" w:rsidRPr="002822D7" w:rsidRDefault="00340B1D" w:rsidP="00340B1D">
      <w:r w:rsidRPr="002822D7">
        <w:t>Table</w:t>
      </w:r>
      <w:r w:rsidR="00C40020">
        <w:t xml:space="preserve"> 5</w:t>
      </w:r>
      <w:r w:rsidR="00BA15B6">
        <w:t xml:space="preserve">: </w:t>
      </w:r>
      <w:r w:rsidRPr="002822D7">
        <w:t>Admissions Year 7 Entry Applications of Harrow residents</w:t>
      </w:r>
    </w:p>
    <w:tbl>
      <w:tblPr>
        <w:tblW w:w="94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1"/>
        <w:gridCol w:w="1329"/>
        <w:gridCol w:w="1243"/>
        <w:gridCol w:w="1036"/>
        <w:gridCol w:w="1109"/>
        <w:gridCol w:w="1279"/>
        <w:gridCol w:w="1060"/>
        <w:gridCol w:w="1060"/>
      </w:tblGrid>
      <w:tr w:rsidR="00FD6D1C" w:rsidRPr="002822D7" w14:paraId="61AC6E27" w14:textId="77777777" w:rsidTr="0069056A">
        <w:trPr>
          <w:trHeight w:val="1200"/>
        </w:trPr>
        <w:tc>
          <w:tcPr>
            <w:tcW w:w="1321" w:type="dxa"/>
            <w:vMerge w:val="restart"/>
            <w:shd w:val="clear" w:color="auto" w:fill="auto"/>
            <w:noWrap/>
            <w:vAlign w:val="center"/>
            <w:hideMark/>
          </w:tcPr>
          <w:p w14:paraId="64C4DCAF" w14:textId="77777777" w:rsidR="00FD6D1C" w:rsidRPr="002822D7" w:rsidRDefault="00FD6D1C" w:rsidP="00FD6D1C">
            <w:pPr>
              <w:rPr>
                <w:b/>
                <w:bCs/>
                <w:color w:val="000000"/>
                <w:sz w:val="22"/>
                <w:szCs w:val="22"/>
                <w:lang w:eastAsia="en-GB"/>
              </w:rPr>
            </w:pPr>
            <w:r w:rsidRPr="002822D7">
              <w:rPr>
                <w:b/>
                <w:bCs/>
                <w:color w:val="000000"/>
                <w:sz w:val="22"/>
                <w:szCs w:val="22"/>
                <w:lang w:eastAsia="en-GB"/>
              </w:rPr>
              <w:t>Entry Year</w:t>
            </w:r>
          </w:p>
        </w:tc>
        <w:tc>
          <w:tcPr>
            <w:tcW w:w="1329" w:type="dxa"/>
            <w:shd w:val="clear" w:color="auto" w:fill="auto"/>
            <w:noWrap/>
            <w:vAlign w:val="center"/>
            <w:hideMark/>
          </w:tcPr>
          <w:p w14:paraId="6F53197C" w14:textId="77777777" w:rsidR="00FD6D1C" w:rsidRPr="002822D7" w:rsidRDefault="00FD6D1C" w:rsidP="00FD6D1C">
            <w:pPr>
              <w:jc w:val="center"/>
              <w:rPr>
                <w:b/>
                <w:bCs/>
                <w:color w:val="000000"/>
                <w:sz w:val="22"/>
                <w:szCs w:val="22"/>
                <w:lang w:eastAsia="en-GB"/>
              </w:rPr>
            </w:pPr>
            <w:r w:rsidRPr="002822D7">
              <w:rPr>
                <w:b/>
                <w:bCs/>
                <w:color w:val="000000"/>
                <w:sz w:val="22"/>
                <w:szCs w:val="22"/>
                <w:lang w:eastAsia="en-GB"/>
              </w:rPr>
              <w:t>On-time</w:t>
            </w:r>
          </w:p>
        </w:tc>
        <w:tc>
          <w:tcPr>
            <w:tcW w:w="1243" w:type="dxa"/>
            <w:vMerge w:val="restart"/>
            <w:shd w:val="clear" w:color="auto" w:fill="auto"/>
            <w:vAlign w:val="center"/>
            <w:hideMark/>
          </w:tcPr>
          <w:p w14:paraId="6205AA2C" w14:textId="5E7643FE" w:rsidR="00FD6D1C" w:rsidRPr="002822D7" w:rsidRDefault="00FD6D1C" w:rsidP="00FD6D1C">
            <w:pPr>
              <w:jc w:val="center"/>
              <w:rPr>
                <w:b/>
                <w:bCs/>
                <w:color w:val="000000"/>
                <w:sz w:val="22"/>
                <w:szCs w:val="22"/>
                <w:lang w:eastAsia="en-GB"/>
              </w:rPr>
            </w:pPr>
            <w:r w:rsidRPr="002822D7">
              <w:rPr>
                <w:b/>
                <w:bCs/>
                <w:color w:val="000000"/>
                <w:sz w:val="22"/>
                <w:szCs w:val="22"/>
                <w:lang w:eastAsia="en-GB"/>
              </w:rPr>
              <w:t>Lates as at end of August</w:t>
            </w:r>
            <w:r w:rsidR="00341D15" w:rsidRPr="002822D7">
              <w:rPr>
                <w:b/>
                <w:bCs/>
                <w:color w:val="000000"/>
                <w:sz w:val="22"/>
                <w:szCs w:val="22"/>
                <w:lang w:eastAsia="en-GB"/>
              </w:rPr>
              <w:t xml:space="preserve"> </w:t>
            </w:r>
            <w:r w:rsidRPr="002822D7">
              <w:rPr>
                <w:b/>
                <w:bCs/>
                <w:color w:val="000000"/>
                <w:sz w:val="20"/>
                <w:szCs w:val="20"/>
                <w:lang w:eastAsia="en-GB"/>
              </w:rPr>
              <w:t>(2)</w:t>
            </w:r>
          </w:p>
        </w:tc>
        <w:tc>
          <w:tcPr>
            <w:tcW w:w="1036" w:type="dxa"/>
            <w:vMerge w:val="restart"/>
            <w:shd w:val="clear" w:color="auto" w:fill="auto"/>
            <w:noWrap/>
            <w:vAlign w:val="center"/>
            <w:hideMark/>
          </w:tcPr>
          <w:p w14:paraId="0E5E4B34" w14:textId="77777777" w:rsidR="00FD6D1C" w:rsidRPr="002822D7" w:rsidRDefault="00FD6D1C" w:rsidP="00FD6D1C">
            <w:pPr>
              <w:jc w:val="center"/>
              <w:rPr>
                <w:b/>
                <w:bCs/>
                <w:color w:val="000000"/>
                <w:sz w:val="22"/>
                <w:szCs w:val="22"/>
                <w:lang w:eastAsia="en-GB"/>
              </w:rPr>
            </w:pPr>
            <w:r w:rsidRPr="002822D7">
              <w:rPr>
                <w:b/>
                <w:bCs/>
                <w:color w:val="000000"/>
                <w:sz w:val="22"/>
                <w:szCs w:val="22"/>
                <w:lang w:eastAsia="en-GB"/>
              </w:rPr>
              <w:t>Total</w:t>
            </w:r>
          </w:p>
        </w:tc>
        <w:tc>
          <w:tcPr>
            <w:tcW w:w="1109" w:type="dxa"/>
            <w:shd w:val="clear" w:color="auto" w:fill="auto"/>
            <w:vAlign w:val="center"/>
            <w:hideMark/>
          </w:tcPr>
          <w:p w14:paraId="5277CEF9" w14:textId="77777777" w:rsidR="00FD6D1C" w:rsidRPr="002822D7" w:rsidRDefault="00FD6D1C" w:rsidP="00FD6D1C">
            <w:pPr>
              <w:jc w:val="center"/>
              <w:rPr>
                <w:b/>
                <w:bCs/>
                <w:color w:val="000000"/>
                <w:sz w:val="22"/>
                <w:szCs w:val="22"/>
                <w:lang w:eastAsia="en-GB"/>
              </w:rPr>
            </w:pPr>
            <w:r w:rsidRPr="002822D7">
              <w:rPr>
                <w:b/>
                <w:bCs/>
                <w:color w:val="000000"/>
                <w:sz w:val="22"/>
                <w:szCs w:val="22"/>
                <w:lang w:eastAsia="en-GB"/>
              </w:rPr>
              <w:t>Increase</w:t>
            </w:r>
          </w:p>
        </w:tc>
        <w:tc>
          <w:tcPr>
            <w:tcW w:w="1279" w:type="dxa"/>
            <w:vMerge w:val="restart"/>
            <w:shd w:val="clear" w:color="auto" w:fill="auto"/>
            <w:vAlign w:val="center"/>
            <w:hideMark/>
          </w:tcPr>
          <w:p w14:paraId="594C126D" w14:textId="77777777" w:rsidR="00FD6D1C" w:rsidRPr="002822D7" w:rsidRDefault="00FD6D1C" w:rsidP="00FD6D1C">
            <w:pPr>
              <w:jc w:val="center"/>
              <w:rPr>
                <w:b/>
                <w:bCs/>
                <w:color w:val="000000"/>
                <w:sz w:val="22"/>
                <w:szCs w:val="22"/>
                <w:lang w:eastAsia="en-GB"/>
              </w:rPr>
            </w:pPr>
            <w:r w:rsidRPr="002822D7">
              <w:rPr>
                <w:b/>
                <w:bCs/>
                <w:color w:val="000000"/>
                <w:sz w:val="22"/>
                <w:szCs w:val="22"/>
                <w:lang w:eastAsia="en-GB"/>
              </w:rPr>
              <w:t>% Increase from previous year</w:t>
            </w:r>
          </w:p>
        </w:tc>
        <w:tc>
          <w:tcPr>
            <w:tcW w:w="1060" w:type="dxa"/>
            <w:shd w:val="clear" w:color="auto" w:fill="auto"/>
            <w:vAlign w:val="center"/>
            <w:hideMark/>
          </w:tcPr>
          <w:p w14:paraId="566BD5FC" w14:textId="77777777" w:rsidR="00FD6D1C" w:rsidRPr="002822D7" w:rsidRDefault="00FD6D1C" w:rsidP="00FD6D1C">
            <w:pPr>
              <w:jc w:val="center"/>
              <w:rPr>
                <w:b/>
                <w:bCs/>
                <w:color w:val="000000"/>
                <w:sz w:val="22"/>
                <w:szCs w:val="22"/>
                <w:lang w:eastAsia="en-GB"/>
              </w:rPr>
            </w:pPr>
            <w:r w:rsidRPr="002822D7">
              <w:rPr>
                <w:b/>
                <w:bCs/>
                <w:color w:val="000000"/>
                <w:sz w:val="22"/>
                <w:szCs w:val="22"/>
                <w:lang w:eastAsia="en-GB"/>
              </w:rPr>
              <w:t>January Census</w:t>
            </w:r>
          </w:p>
        </w:tc>
        <w:tc>
          <w:tcPr>
            <w:tcW w:w="1060" w:type="dxa"/>
            <w:vMerge w:val="restart"/>
            <w:shd w:val="clear" w:color="auto" w:fill="auto"/>
            <w:vAlign w:val="center"/>
            <w:hideMark/>
          </w:tcPr>
          <w:p w14:paraId="01FCFE17" w14:textId="77777777" w:rsidR="00FD6D1C" w:rsidRPr="002822D7" w:rsidRDefault="00FD6D1C" w:rsidP="00FD6D1C">
            <w:pPr>
              <w:jc w:val="center"/>
              <w:rPr>
                <w:b/>
                <w:bCs/>
                <w:color w:val="000000"/>
                <w:sz w:val="22"/>
                <w:szCs w:val="22"/>
                <w:lang w:eastAsia="en-GB"/>
              </w:rPr>
            </w:pPr>
            <w:r w:rsidRPr="002822D7">
              <w:rPr>
                <w:b/>
                <w:bCs/>
                <w:color w:val="000000"/>
                <w:sz w:val="22"/>
                <w:szCs w:val="22"/>
                <w:lang w:eastAsia="en-GB"/>
              </w:rPr>
              <w:t>January Take Up Rate</w:t>
            </w:r>
          </w:p>
        </w:tc>
      </w:tr>
      <w:tr w:rsidR="00FD6D1C" w:rsidRPr="002822D7" w14:paraId="0D190E1C" w14:textId="77777777" w:rsidTr="0069056A">
        <w:trPr>
          <w:trHeight w:val="600"/>
        </w:trPr>
        <w:tc>
          <w:tcPr>
            <w:tcW w:w="1321" w:type="dxa"/>
            <w:vMerge/>
            <w:vAlign w:val="center"/>
            <w:hideMark/>
          </w:tcPr>
          <w:p w14:paraId="2F0AB80C" w14:textId="77777777" w:rsidR="00FD6D1C" w:rsidRPr="002822D7" w:rsidRDefault="00FD6D1C" w:rsidP="00FD6D1C">
            <w:pPr>
              <w:rPr>
                <w:b/>
                <w:bCs/>
                <w:color w:val="000000"/>
                <w:sz w:val="22"/>
                <w:szCs w:val="22"/>
                <w:lang w:eastAsia="en-GB"/>
              </w:rPr>
            </w:pPr>
          </w:p>
        </w:tc>
        <w:tc>
          <w:tcPr>
            <w:tcW w:w="1329" w:type="dxa"/>
            <w:shd w:val="clear" w:color="auto" w:fill="auto"/>
            <w:noWrap/>
            <w:vAlign w:val="center"/>
            <w:hideMark/>
          </w:tcPr>
          <w:p w14:paraId="494361BA" w14:textId="22457A6C" w:rsidR="00FD6D1C" w:rsidRPr="002822D7" w:rsidRDefault="00FD6D1C" w:rsidP="00FD6D1C">
            <w:pPr>
              <w:jc w:val="center"/>
              <w:rPr>
                <w:b/>
                <w:bCs/>
                <w:color w:val="000000"/>
                <w:sz w:val="22"/>
                <w:szCs w:val="22"/>
                <w:lang w:eastAsia="en-GB"/>
              </w:rPr>
            </w:pPr>
            <w:r w:rsidRPr="002822D7">
              <w:rPr>
                <w:b/>
                <w:bCs/>
                <w:color w:val="000000"/>
                <w:sz w:val="22"/>
                <w:szCs w:val="22"/>
                <w:lang w:eastAsia="en-GB"/>
              </w:rPr>
              <w:t>October</w:t>
            </w:r>
            <w:r w:rsidR="00341D15" w:rsidRPr="002822D7">
              <w:rPr>
                <w:b/>
                <w:bCs/>
                <w:color w:val="000000"/>
                <w:sz w:val="22"/>
                <w:szCs w:val="22"/>
                <w:lang w:eastAsia="en-GB"/>
              </w:rPr>
              <w:t xml:space="preserve"> </w:t>
            </w:r>
            <w:r w:rsidRPr="002822D7">
              <w:rPr>
                <w:b/>
                <w:bCs/>
                <w:color w:val="000000"/>
                <w:sz w:val="20"/>
                <w:szCs w:val="20"/>
                <w:lang w:eastAsia="en-GB"/>
              </w:rPr>
              <w:t>(1)</w:t>
            </w:r>
          </w:p>
        </w:tc>
        <w:tc>
          <w:tcPr>
            <w:tcW w:w="1243" w:type="dxa"/>
            <w:vMerge/>
            <w:vAlign w:val="center"/>
            <w:hideMark/>
          </w:tcPr>
          <w:p w14:paraId="3908ED58" w14:textId="77777777" w:rsidR="00FD6D1C" w:rsidRPr="002822D7" w:rsidRDefault="00FD6D1C" w:rsidP="00FD6D1C">
            <w:pPr>
              <w:rPr>
                <w:b/>
                <w:bCs/>
                <w:color w:val="000000"/>
                <w:sz w:val="22"/>
                <w:szCs w:val="22"/>
                <w:lang w:eastAsia="en-GB"/>
              </w:rPr>
            </w:pPr>
          </w:p>
        </w:tc>
        <w:tc>
          <w:tcPr>
            <w:tcW w:w="1036" w:type="dxa"/>
            <w:vMerge/>
            <w:vAlign w:val="center"/>
            <w:hideMark/>
          </w:tcPr>
          <w:p w14:paraId="26861B77" w14:textId="77777777" w:rsidR="00FD6D1C" w:rsidRPr="002822D7" w:rsidRDefault="00FD6D1C" w:rsidP="00FD6D1C">
            <w:pPr>
              <w:rPr>
                <w:b/>
                <w:bCs/>
                <w:color w:val="000000"/>
                <w:sz w:val="22"/>
                <w:szCs w:val="22"/>
                <w:lang w:eastAsia="en-GB"/>
              </w:rPr>
            </w:pPr>
          </w:p>
        </w:tc>
        <w:tc>
          <w:tcPr>
            <w:tcW w:w="1109" w:type="dxa"/>
            <w:shd w:val="clear" w:color="auto" w:fill="auto"/>
            <w:vAlign w:val="center"/>
            <w:hideMark/>
          </w:tcPr>
          <w:p w14:paraId="01D87D8D" w14:textId="77777777" w:rsidR="00FD6D1C" w:rsidRPr="002822D7" w:rsidRDefault="00FD6D1C" w:rsidP="00FD6D1C">
            <w:pPr>
              <w:jc w:val="center"/>
              <w:rPr>
                <w:b/>
                <w:bCs/>
                <w:color w:val="000000"/>
                <w:sz w:val="22"/>
                <w:szCs w:val="22"/>
                <w:lang w:eastAsia="en-GB"/>
              </w:rPr>
            </w:pPr>
            <w:r w:rsidRPr="002822D7">
              <w:rPr>
                <w:b/>
                <w:bCs/>
                <w:color w:val="000000"/>
                <w:sz w:val="22"/>
                <w:szCs w:val="22"/>
                <w:lang w:eastAsia="en-GB"/>
              </w:rPr>
              <w:t>(Total)</w:t>
            </w:r>
          </w:p>
        </w:tc>
        <w:tc>
          <w:tcPr>
            <w:tcW w:w="1279" w:type="dxa"/>
            <w:vMerge/>
            <w:vAlign w:val="center"/>
            <w:hideMark/>
          </w:tcPr>
          <w:p w14:paraId="69552B1D" w14:textId="77777777" w:rsidR="00FD6D1C" w:rsidRPr="002822D7" w:rsidRDefault="00FD6D1C" w:rsidP="00FD6D1C">
            <w:pPr>
              <w:rPr>
                <w:b/>
                <w:bCs/>
                <w:color w:val="000000"/>
                <w:sz w:val="22"/>
                <w:szCs w:val="22"/>
                <w:lang w:eastAsia="en-GB"/>
              </w:rPr>
            </w:pPr>
          </w:p>
        </w:tc>
        <w:tc>
          <w:tcPr>
            <w:tcW w:w="1060" w:type="dxa"/>
            <w:shd w:val="clear" w:color="auto" w:fill="auto"/>
            <w:vAlign w:val="center"/>
            <w:hideMark/>
          </w:tcPr>
          <w:p w14:paraId="0363EDC7" w14:textId="77777777" w:rsidR="00FD6D1C" w:rsidRPr="002822D7" w:rsidRDefault="00FD6D1C" w:rsidP="00FD6D1C">
            <w:pPr>
              <w:jc w:val="center"/>
              <w:rPr>
                <w:b/>
                <w:bCs/>
                <w:color w:val="000000"/>
                <w:sz w:val="22"/>
                <w:szCs w:val="22"/>
                <w:lang w:eastAsia="en-GB"/>
              </w:rPr>
            </w:pPr>
            <w:r w:rsidRPr="002822D7">
              <w:rPr>
                <w:b/>
                <w:bCs/>
                <w:color w:val="000000"/>
                <w:sz w:val="22"/>
                <w:szCs w:val="22"/>
                <w:lang w:eastAsia="en-GB"/>
              </w:rPr>
              <w:t>Year 7</w:t>
            </w:r>
          </w:p>
        </w:tc>
        <w:tc>
          <w:tcPr>
            <w:tcW w:w="1060" w:type="dxa"/>
            <w:vMerge/>
            <w:vAlign w:val="center"/>
            <w:hideMark/>
          </w:tcPr>
          <w:p w14:paraId="2BA5A789" w14:textId="77777777" w:rsidR="00FD6D1C" w:rsidRPr="002822D7" w:rsidRDefault="00FD6D1C" w:rsidP="00FD6D1C">
            <w:pPr>
              <w:rPr>
                <w:b/>
                <w:bCs/>
                <w:color w:val="000000"/>
                <w:sz w:val="22"/>
                <w:szCs w:val="22"/>
                <w:lang w:eastAsia="en-GB"/>
              </w:rPr>
            </w:pPr>
          </w:p>
        </w:tc>
      </w:tr>
      <w:tr w:rsidR="00FD6D1C" w:rsidRPr="002822D7" w14:paraId="024EB6C4" w14:textId="77777777" w:rsidTr="00341D15">
        <w:trPr>
          <w:trHeight w:val="300"/>
        </w:trPr>
        <w:tc>
          <w:tcPr>
            <w:tcW w:w="1321" w:type="dxa"/>
            <w:shd w:val="clear" w:color="auto" w:fill="auto"/>
            <w:noWrap/>
            <w:vAlign w:val="center"/>
            <w:hideMark/>
          </w:tcPr>
          <w:p w14:paraId="153F0BC3" w14:textId="77777777" w:rsidR="00FD6D1C" w:rsidRPr="002822D7" w:rsidRDefault="00FD6D1C" w:rsidP="00341D15">
            <w:pPr>
              <w:jc w:val="center"/>
              <w:rPr>
                <w:color w:val="000000"/>
                <w:sz w:val="22"/>
                <w:szCs w:val="22"/>
                <w:lang w:eastAsia="en-GB"/>
              </w:rPr>
            </w:pPr>
            <w:r w:rsidRPr="002822D7">
              <w:rPr>
                <w:color w:val="000000"/>
                <w:sz w:val="22"/>
                <w:szCs w:val="22"/>
                <w:lang w:eastAsia="en-GB"/>
              </w:rPr>
              <w:t>Sep-13</w:t>
            </w:r>
          </w:p>
        </w:tc>
        <w:tc>
          <w:tcPr>
            <w:tcW w:w="1329" w:type="dxa"/>
            <w:shd w:val="clear" w:color="auto" w:fill="auto"/>
            <w:noWrap/>
            <w:vAlign w:val="center"/>
            <w:hideMark/>
          </w:tcPr>
          <w:p w14:paraId="2EB2E52C" w14:textId="77777777" w:rsidR="00FD6D1C" w:rsidRPr="002822D7" w:rsidRDefault="00FD6D1C" w:rsidP="00341D15">
            <w:pPr>
              <w:jc w:val="center"/>
              <w:rPr>
                <w:color w:val="000000"/>
                <w:sz w:val="22"/>
                <w:szCs w:val="22"/>
                <w:lang w:eastAsia="en-GB"/>
              </w:rPr>
            </w:pPr>
            <w:r w:rsidRPr="002822D7">
              <w:rPr>
                <w:color w:val="000000"/>
                <w:sz w:val="22"/>
                <w:szCs w:val="22"/>
                <w:lang w:eastAsia="en-GB"/>
              </w:rPr>
              <w:t>2,329</w:t>
            </w:r>
          </w:p>
        </w:tc>
        <w:tc>
          <w:tcPr>
            <w:tcW w:w="1243" w:type="dxa"/>
            <w:shd w:val="clear" w:color="auto" w:fill="auto"/>
            <w:noWrap/>
            <w:vAlign w:val="center"/>
            <w:hideMark/>
          </w:tcPr>
          <w:p w14:paraId="200E9EB4" w14:textId="77777777" w:rsidR="00FD6D1C" w:rsidRPr="002822D7" w:rsidRDefault="00FD6D1C" w:rsidP="00341D15">
            <w:pPr>
              <w:jc w:val="center"/>
              <w:rPr>
                <w:color w:val="000000"/>
                <w:sz w:val="22"/>
                <w:szCs w:val="22"/>
                <w:lang w:eastAsia="en-GB"/>
              </w:rPr>
            </w:pPr>
            <w:r w:rsidRPr="002822D7">
              <w:rPr>
                <w:color w:val="000000"/>
                <w:sz w:val="22"/>
                <w:szCs w:val="22"/>
                <w:lang w:eastAsia="en-GB"/>
              </w:rPr>
              <w:t>129</w:t>
            </w:r>
          </w:p>
        </w:tc>
        <w:tc>
          <w:tcPr>
            <w:tcW w:w="1036" w:type="dxa"/>
            <w:shd w:val="clear" w:color="auto" w:fill="auto"/>
            <w:noWrap/>
            <w:vAlign w:val="center"/>
            <w:hideMark/>
          </w:tcPr>
          <w:p w14:paraId="6BEB316F" w14:textId="77777777" w:rsidR="00FD6D1C" w:rsidRPr="002822D7" w:rsidRDefault="00FD6D1C" w:rsidP="00341D15">
            <w:pPr>
              <w:jc w:val="center"/>
              <w:rPr>
                <w:color w:val="000000"/>
                <w:sz w:val="22"/>
                <w:szCs w:val="22"/>
                <w:lang w:eastAsia="en-GB"/>
              </w:rPr>
            </w:pPr>
            <w:r w:rsidRPr="002822D7">
              <w:rPr>
                <w:color w:val="000000"/>
                <w:sz w:val="22"/>
                <w:szCs w:val="22"/>
                <w:lang w:eastAsia="en-GB"/>
              </w:rPr>
              <w:t>2,458</w:t>
            </w:r>
          </w:p>
        </w:tc>
        <w:tc>
          <w:tcPr>
            <w:tcW w:w="1109" w:type="dxa"/>
            <w:shd w:val="clear" w:color="auto" w:fill="auto"/>
            <w:noWrap/>
            <w:vAlign w:val="center"/>
            <w:hideMark/>
          </w:tcPr>
          <w:p w14:paraId="38D46B8E" w14:textId="77777777" w:rsidR="00FD6D1C" w:rsidRPr="002822D7" w:rsidRDefault="00FD6D1C" w:rsidP="00341D15">
            <w:pPr>
              <w:jc w:val="center"/>
              <w:rPr>
                <w:color w:val="000000"/>
                <w:sz w:val="22"/>
                <w:szCs w:val="22"/>
                <w:lang w:eastAsia="en-GB"/>
              </w:rPr>
            </w:pPr>
            <w:r w:rsidRPr="002822D7">
              <w:rPr>
                <w:color w:val="000000"/>
                <w:sz w:val="22"/>
                <w:szCs w:val="22"/>
                <w:lang w:eastAsia="en-GB"/>
              </w:rPr>
              <w:t>-</w:t>
            </w:r>
          </w:p>
        </w:tc>
        <w:tc>
          <w:tcPr>
            <w:tcW w:w="1279" w:type="dxa"/>
            <w:shd w:val="clear" w:color="auto" w:fill="auto"/>
            <w:noWrap/>
            <w:vAlign w:val="center"/>
            <w:hideMark/>
          </w:tcPr>
          <w:p w14:paraId="482F06B8" w14:textId="77777777" w:rsidR="00FD6D1C" w:rsidRPr="002822D7" w:rsidRDefault="00FD6D1C" w:rsidP="00341D15">
            <w:pPr>
              <w:jc w:val="center"/>
              <w:rPr>
                <w:color w:val="000000"/>
                <w:sz w:val="22"/>
                <w:szCs w:val="22"/>
                <w:lang w:eastAsia="en-GB"/>
              </w:rPr>
            </w:pPr>
            <w:r w:rsidRPr="002822D7">
              <w:rPr>
                <w:color w:val="000000"/>
                <w:sz w:val="22"/>
                <w:szCs w:val="22"/>
                <w:lang w:eastAsia="en-GB"/>
              </w:rPr>
              <w:t>-</w:t>
            </w:r>
          </w:p>
        </w:tc>
        <w:tc>
          <w:tcPr>
            <w:tcW w:w="1060" w:type="dxa"/>
            <w:shd w:val="clear" w:color="auto" w:fill="auto"/>
            <w:noWrap/>
            <w:vAlign w:val="center"/>
            <w:hideMark/>
          </w:tcPr>
          <w:p w14:paraId="4F219C68" w14:textId="77777777" w:rsidR="00FD6D1C" w:rsidRPr="002822D7" w:rsidRDefault="00FD6D1C" w:rsidP="00341D15">
            <w:pPr>
              <w:jc w:val="center"/>
              <w:rPr>
                <w:color w:val="000000"/>
                <w:sz w:val="22"/>
                <w:szCs w:val="22"/>
                <w:lang w:eastAsia="en-GB"/>
              </w:rPr>
            </w:pPr>
            <w:r w:rsidRPr="002822D7">
              <w:rPr>
                <w:rFonts w:eastAsia="Calibri"/>
                <w:color w:val="000000"/>
                <w:sz w:val="22"/>
                <w:szCs w:val="22"/>
                <w:lang w:eastAsia="en-GB"/>
              </w:rPr>
              <w:t>1,982</w:t>
            </w:r>
          </w:p>
        </w:tc>
        <w:tc>
          <w:tcPr>
            <w:tcW w:w="1060" w:type="dxa"/>
            <w:shd w:val="clear" w:color="auto" w:fill="auto"/>
            <w:noWrap/>
            <w:vAlign w:val="center"/>
            <w:hideMark/>
          </w:tcPr>
          <w:p w14:paraId="577A1A45" w14:textId="77777777" w:rsidR="00FD6D1C" w:rsidRPr="002822D7" w:rsidRDefault="00FD6D1C" w:rsidP="00341D15">
            <w:pPr>
              <w:jc w:val="center"/>
              <w:rPr>
                <w:color w:val="000000"/>
                <w:sz w:val="22"/>
                <w:szCs w:val="22"/>
                <w:lang w:eastAsia="en-GB"/>
              </w:rPr>
            </w:pPr>
            <w:r w:rsidRPr="002822D7">
              <w:rPr>
                <w:color w:val="000000"/>
                <w:sz w:val="22"/>
                <w:szCs w:val="22"/>
                <w:lang w:eastAsia="en-GB"/>
              </w:rPr>
              <w:t>80.6%</w:t>
            </w:r>
          </w:p>
        </w:tc>
      </w:tr>
      <w:tr w:rsidR="00FD6D1C" w:rsidRPr="002822D7" w14:paraId="0D9EB95D" w14:textId="77777777" w:rsidTr="00341D15">
        <w:trPr>
          <w:trHeight w:val="300"/>
        </w:trPr>
        <w:tc>
          <w:tcPr>
            <w:tcW w:w="1321" w:type="dxa"/>
            <w:shd w:val="clear" w:color="auto" w:fill="auto"/>
            <w:noWrap/>
            <w:vAlign w:val="center"/>
            <w:hideMark/>
          </w:tcPr>
          <w:p w14:paraId="20C62DAF" w14:textId="77777777" w:rsidR="00FD6D1C" w:rsidRPr="002822D7" w:rsidRDefault="00FD6D1C" w:rsidP="00341D15">
            <w:pPr>
              <w:jc w:val="center"/>
              <w:rPr>
                <w:color w:val="000000"/>
                <w:sz w:val="22"/>
                <w:szCs w:val="22"/>
                <w:lang w:eastAsia="en-GB"/>
              </w:rPr>
            </w:pPr>
            <w:r w:rsidRPr="002822D7">
              <w:rPr>
                <w:color w:val="000000"/>
                <w:sz w:val="22"/>
                <w:szCs w:val="22"/>
                <w:lang w:eastAsia="en-GB"/>
              </w:rPr>
              <w:t>Sep-14</w:t>
            </w:r>
          </w:p>
        </w:tc>
        <w:tc>
          <w:tcPr>
            <w:tcW w:w="1329" w:type="dxa"/>
            <w:shd w:val="clear" w:color="auto" w:fill="auto"/>
            <w:noWrap/>
            <w:vAlign w:val="center"/>
            <w:hideMark/>
          </w:tcPr>
          <w:p w14:paraId="6DD35A0E" w14:textId="77777777" w:rsidR="00FD6D1C" w:rsidRPr="002822D7" w:rsidRDefault="00FD6D1C" w:rsidP="00341D15">
            <w:pPr>
              <w:jc w:val="center"/>
              <w:rPr>
                <w:color w:val="000000"/>
                <w:sz w:val="22"/>
                <w:szCs w:val="22"/>
                <w:lang w:eastAsia="en-GB"/>
              </w:rPr>
            </w:pPr>
            <w:r w:rsidRPr="002822D7">
              <w:rPr>
                <w:color w:val="000000"/>
                <w:sz w:val="22"/>
                <w:szCs w:val="22"/>
                <w:lang w:eastAsia="en-GB"/>
              </w:rPr>
              <w:t>2,475</w:t>
            </w:r>
          </w:p>
        </w:tc>
        <w:tc>
          <w:tcPr>
            <w:tcW w:w="1243" w:type="dxa"/>
            <w:shd w:val="clear" w:color="auto" w:fill="auto"/>
            <w:noWrap/>
            <w:vAlign w:val="center"/>
            <w:hideMark/>
          </w:tcPr>
          <w:p w14:paraId="6032C6DE" w14:textId="77777777" w:rsidR="00FD6D1C" w:rsidRPr="002822D7" w:rsidRDefault="00FD6D1C" w:rsidP="00341D15">
            <w:pPr>
              <w:jc w:val="center"/>
              <w:rPr>
                <w:color w:val="000000"/>
                <w:sz w:val="22"/>
                <w:szCs w:val="22"/>
                <w:lang w:eastAsia="en-GB"/>
              </w:rPr>
            </w:pPr>
            <w:r w:rsidRPr="002822D7">
              <w:rPr>
                <w:color w:val="000000"/>
                <w:sz w:val="22"/>
                <w:szCs w:val="22"/>
                <w:lang w:eastAsia="en-GB"/>
              </w:rPr>
              <w:t>167</w:t>
            </w:r>
          </w:p>
        </w:tc>
        <w:tc>
          <w:tcPr>
            <w:tcW w:w="1036" w:type="dxa"/>
            <w:shd w:val="clear" w:color="auto" w:fill="auto"/>
            <w:noWrap/>
            <w:vAlign w:val="center"/>
            <w:hideMark/>
          </w:tcPr>
          <w:p w14:paraId="17040F30" w14:textId="77777777" w:rsidR="00FD6D1C" w:rsidRPr="002822D7" w:rsidRDefault="00FD6D1C" w:rsidP="00341D15">
            <w:pPr>
              <w:jc w:val="center"/>
              <w:rPr>
                <w:color w:val="000000"/>
                <w:sz w:val="22"/>
                <w:szCs w:val="22"/>
                <w:lang w:eastAsia="en-GB"/>
              </w:rPr>
            </w:pPr>
            <w:r w:rsidRPr="002822D7">
              <w:rPr>
                <w:color w:val="000000"/>
                <w:sz w:val="22"/>
                <w:szCs w:val="22"/>
                <w:lang w:eastAsia="en-GB"/>
              </w:rPr>
              <w:t>2,642</w:t>
            </w:r>
          </w:p>
        </w:tc>
        <w:tc>
          <w:tcPr>
            <w:tcW w:w="1109" w:type="dxa"/>
            <w:shd w:val="clear" w:color="auto" w:fill="auto"/>
            <w:noWrap/>
            <w:vAlign w:val="center"/>
            <w:hideMark/>
          </w:tcPr>
          <w:p w14:paraId="11C7646E" w14:textId="77777777" w:rsidR="00FD6D1C" w:rsidRPr="002822D7" w:rsidRDefault="00FD6D1C" w:rsidP="00341D15">
            <w:pPr>
              <w:jc w:val="center"/>
              <w:rPr>
                <w:color w:val="000000"/>
                <w:sz w:val="22"/>
                <w:szCs w:val="22"/>
                <w:lang w:eastAsia="en-GB"/>
              </w:rPr>
            </w:pPr>
            <w:r w:rsidRPr="002822D7">
              <w:rPr>
                <w:color w:val="000000"/>
                <w:sz w:val="22"/>
                <w:szCs w:val="22"/>
                <w:lang w:eastAsia="en-GB"/>
              </w:rPr>
              <w:t>184</w:t>
            </w:r>
          </w:p>
        </w:tc>
        <w:tc>
          <w:tcPr>
            <w:tcW w:w="1279" w:type="dxa"/>
            <w:shd w:val="clear" w:color="auto" w:fill="auto"/>
            <w:noWrap/>
            <w:vAlign w:val="center"/>
            <w:hideMark/>
          </w:tcPr>
          <w:p w14:paraId="29648815" w14:textId="77777777" w:rsidR="00FD6D1C" w:rsidRPr="002822D7" w:rsidRDefault="00FD6D1C" w:rsidP="00341D15">
            <w:pPr>
              <w:jc w:val="center"/>
              <w:rPr>
                <w:color w:val="000000"/>
                <w:sz w:val="22"/>
                <w:szCs w:val="22"/>
                <w:lang w:eastAsia="en-GB"/>
              </w:rPr>
            </w:pPr>
            <w:r w:rsidRPr="002822D7">
              <w:rPr>
                <w:color w:val="000000"/>
                <w:sz w:val="22"/>
                <w:szCs w:val="22"/>
                <w:lang w:eastAsia="en-GB"/>
              </w:rPr>
              <w:t>7.49%</w:t>
            </w:r>
          </w:p>
        </w:tc>
        <w:tc>
          <w:tcPr>
            <w:tcW w:w="1060" w:type="dxa"/>
            <w:shd w:val="clear" w:color="auto" w:fill="auto"/>
            <w:noWrap/>
            <w:vAlign w:val="center"/>
            <w:hideMark/>
          </w:tcPr>
          <w:p w14:paraId="10C56958" w14:textId="77777777" w:rsidR="00FD6D1C" w:rsidRPr="002822D7" w:rsidRDefault="00FD6D1C" w:rsidP="00341D15">
            <w:pPr>
              <w:jc w:val="center"/>
              <w:rPr>
                <w:color w:val="000000"/>
                <w:sz w:val="22"/>
                <w:szCs w:val="22"/>
                <w:lang w:eastAsia="en-GB"/>
              </w:rPr>
            </w:pPr>
            <w:r w:rsidRPr="002822D7">
              <w:rPr>
                <w:rFonts w:eastAsia="Calibri"/>
                <w:color w:val="000000"/>
                <w:sz w:val="22"/>
                <w:szCs w:val="22"/>
                <w:lang w:eastAsia="en-GB"/>
              </w:rPr>
              <w:t>2,160</w:t>
            </w:r>
          </w:p>
        </w:tc>
        <w:tc>
          <w:tcPr>
            <w:tcW w:w="1060" w:type="dxa"/>
            <w:shd w:val="clear" w:color="auto" w:fill="auto"/>
            <w:noWrap/>
            <w:vAlign w:val="center"/>
            <w:hideMark/>
          </w:tcPr>
          <w:p w14:paraId="00671509" w14:textId="77777777" w:rsidR="00FD6D1C" w:rsidRPr="002822D7" w:rsidRDefault="00FD6D1C" w:rsidP="00341D15">
            <w:pPr>
              <w:jc w:val="center"/>
              <w:rPr>
                <w:color w:val="000000"/>
                <w:sz w:val="22"/>
                <w:szCs w:val="22"/>
                <w:lang w:eastAsia="en-GB"/>
              </w:rPr>
            </w:pPr>
            <w:r w:rsidRPr="002822D7">
              <w:rPr>
                <w:color w:val="000000"/>
                <w:sz w:val="22"/>
                <w:szCs w:val="22"/>
                <w:lang w:eastAsia="en-GB"/>
              </w:rPr>
              <w:t>81.8%</w:t>
            </w:r>
          </w:p>
        </w:tc>
      </w:tr>
      <w:tr w:rsidR="00FD6D1C" w:rsidRPr="002822D7" w14:paraId="070F56AC" w14:textId="77777777" w:rsidTr="00341D15">
        <w:trPr>
          <w:trHeight w:val="300"/>
        </w:trPr>
        <w:tc>
          <w:tcPr>
            <w:tcW w:w="1321" w:type="dxa"/>
            <w:shd w:val="clear" w:color="auto" w:fill="auto"/>
            <w:noWrap/>
            <w:vAlign w:val="center"/>
            <w:hideMark/>
          </w:tcPr>
          <w:p w14:paraId="1D39D604" w14:textId="77777777" w:rsidR="00FD6D1C" w:rsidRPr="002822D7" w:rsidRDefault="00FD6D1C" w:rsidP="00341D15">
            <w:pPr>
              <w:jc w:val="center"/>
              <w:rPr>
                <w:color w:val="000000"/>
                <w:sz w:val="22"/>
                <w:szCs w:val="22"/>
                <w:lang w:eastAsia="en-GB"/>
              </w:rPr>
            </w:pPr>
            <w:r w:rsidRPr="002822D7">
              <w:rPr>
                <w:color w:val="000000"/>
                <w:sz w:val="22"/>
                <w:szCs w:val="22"/>
                <w:lang w:eastAsia="en-GB"/>
              </w:rPr>
              <w:t>Sep-15</w:t>
            </w:r>
          </w:p>
        </w:tc>
        <w:tc>
          <w:tcPr>
            <w:tcW w:w="1329" w:type="dxa"/>
            <w:shd w:val="clear" w:color="auto" w:fill="auto"/>
            <w:noWrap/>
            <w:vAlign w:val="center"/>
            <w:hideMark/>
          </w:tcPr>
          <w:p w14:paraId="4ED42642" w14:textId="77777777" w:rsidR="00FD6D1C" w:rsidRPr="002822D7" w:rsidRDefault="00FD6D1C" w:rsidP="00341D15">
            <w:pPr>
              <w:jc w:val="center"/>
              <w:rPr>
                <w:color w:val="000000"/>
                <w:sz w:val="22"/>
                <w:szCs w:val="22"/>
                <w:lang w:eastAsia="en-GB"/>
              </w:rPr>
            </w:pPr>
            <w:r w:rsidRPr="002822D7">
              <w:rPr>
                <w:color w:val="000000"/>
                <w:sz w:val="22"/>
                <w:szCs w:val="22"/>
                <w:lang w:eastAsia="en-GB"/>
              </w:rPr>
              <w:t>2,557</w:t>
            </w:r>
          </w:p>
        </w:tc>
        <w:tc>
          <w:tcPr>
            <w:tcW w:w="1243" w:type="dxa"/>
            <w:shd w:val="clear" w:color="auto" w:fill="auto"/>
            <w:noWrap/>
            <w:vAlign w:val="center"/>
            <w:hideMark/>
          </w:tcPr>
          <w:p w14:paraId="3BCC96FB" w14:textId="77777777" w:rsidR="00FD6D1C" w:rsidRPr="002822D7" w:rsidRDefault="00FD6D1C" w:rsidP="00341D15">
            <w:pPr>
              <w:jc w:val="center"/>
              <w:rPr>
                <w:color w:val="000000"/>
                <w:sz w:val="22"/>
                <w:szCs w:val="22"/>
                <w:lang w:eastAsia="en-GB"/>
              </w:rPr>
            </w:pPr>
            <w:r w:rsidRPr="002822D7">
              <w:rPr>
                <w:color w:val="000000"/>
                <w:sz w:val="22"/>
                <w:szCs w:val="22"/>
                <w:lang w:eastAsia="en-GB"/>
              </w:rPr>
              <w:t>167</w:t>
            </w:r>
          </w:p>
        </w:tc>
        <w:tc>
          <w:tcPr>
            <w:tcW w:w="1036" w:type="dxa"/>
            <w:shd w:val="clear" w:color="auto" w:fill="auto"/>
            <w:noWrap/>
            <w:vAlign w:val="center"/>
            <w:hideMark/>
          </w:tcPr>
          <w:p w14:paraId="32C8EF54" w14:textId="77777777" w:rsidR="00FD6D1C" w:rsidRPr="002822D7" w:rsidRDefault="00FD6D1C" w:rsidP="00341D15">
            <w:pPr>
              <w:jc w:val="center"/>
              <w:rPr>
                <w:color w:val="000000"/>
                <w:sz w:val="22"/>
                <w:szCs w:val="22"/>
                <w:lang w:eastAsia="en-GB"/>
              </w:rPr>
            </w:pPr>
            <w:r w:rsidRPr="002822D7">
              <w:rPr>
                <w:color w:val="000000"/>
                <w:sz w:val="22"/>
                <w:szCs w:val="22"/>
                <w:lang w:eastAsia="en-GB"/>
              </w:rPr>
              <w:t>2,724</w:t>
            </w:r>
          </w:p>
        </w:tc>
        <w:tc>
          <w:tcPr>
            <w:tcW w:w="1109" w:type="dxa"/>
            <w:shd w:val="clear" w:color="auto" w:fill="auto"/>
            <w:noWrap/>
            <w:vAlign w:val="center"/>
            <w:hideMark/>
          </w:tcPr>
          <w:p w14:paraId="619242AE" w14:textId="77777777" w:rsidR="00FD6D1C" w:rsidRPr="002822D7" w:rsidRDefault="00FD6D1C" w:rsidP="00341D15">
            <w:pPr>
              <w:jc w:val="center"/>
              <w:rPr>
                <w:color w:val="000000"/>
                <w:sz w:val="22"/>
                <w:szCs w:val="22"/>
                <w:lang w:eastAsia="en-GB"/>
              </w:rPr>
            </w:pPr>
            <w:r w:rsidRPr="002822D7">
              <w:rPr>
                <w:color w:val="000000"/>
                <w:sz w:val="22"/>
                <w:szCs w:val="22"/>
                <w:lang w:eastAsia="en-GB"/>
              </w:rPr>
              <w:t>82</w:t>
            </w:r>
          </w:p>
        </w:tc>
        <w:tc>
          <w:tcPr>
            <w:tcW w:w="1279" w:type="dxa"/>
            <w:shd w:val="clear" w:color="auto" w:fill="auto"/>
            <w:noWrap/>
            <w:vAlign w:val="center"/>
            <w:hideMark/>
          </w:tcPr>
          <w:p w14:paraId="4314ECE5" w14:textId="77777777" w:rsidR="00FD6D1C" w:rsidRPr="002822D7" w:rsidRDefault="00FD6D1C" w:rsidP="00341D15">
            <w:pPr>
              <w:jc w:val="center"/>
              <w:rPr>
                <w:color w:val="000000"/>
                <w:sz w:val="22"/>
                <w:szCs w:val="22"/>
                <w:lang w:eastAsia="en-GB"/>
              </w:rPr>
            </w:pPr>
            <w:r w:rsidRPr="002822D7">
              <w:rPr>
                <w:color w:val="000000"/>
                <w:sz w:val="22"/>
                <w:szCs w:val="22"/>
                <w:lang w:eastAsia="en-GB"/>
              </w:rPr>
              <w:t>3.10%</w:t>
            </w:r>
          </w:p>
        </w:tc>
        <w:tc>
          <w:tcPr>
            <w:tcW w:w="1060" w:type="dxa"/>
            <w:shd w:val="clear" w:color="auto" w:fill="auto"/>
            <w:noWrap/>
            <w:vAlign w:val="center"/>
            <w:hideMark/>
          </w:tcPr>
          <w:p w14:paraId="14D0E54F" w14:textId="77777777" w:rsidR="00FD6D1C" w:rsidRPr="002822D7" w:rsidRDefault="00FD6D1C" w:rsidP="00341D15">
            <w:pPr>
              <w:jc w:val="center"/>
              <w:rPr>
                <w:color w:val="000000"/>
                <w:sz w:val="22"/>
                <w:szCs w:val="22"/>
                <w:lang w:eastAsia="en-GB"/>
              </w:rPr>
            </w:pPr>
            <w:r w:rsidRPr="002822D7">
              <w:rPr>
                <w:rFonts w:eastAsia="Calibri"/>
                <w:color w:val="000000"/>
                <w:sz w:val="22"/>
                <w:szCs w:val="22"/>
                <w:lang w:eastAsia="en-GB"/>
              </w:rPr>
              <w:t>2,204</w:t>
            </w:r>
          </w:p>
        </w:tc>
        <w:tc>
          <w:tcPr>
            <w:tcW w:w="1060" w:type="dxa"/>
            <w:shd w:val="clear" w:color="auto" w:fill="auto"/>
            <w:noWrap/>
            <w:vAlign w:val="center"/>
            <w:hideMark/>
          </w:tcPr>
          <w:p w14:paraId="2CF9D28E" w14:textId="77777777" w:rsidR="00FD6D1C" w:rsidRPr="002822D7" w:rsidRDefault="00FD6D1C" w:rsidP="00341D15">
            <w:pPr>
              <w:jc w:val="center"/>
              <w:rPr>
                <w:color w:val="000000"/>
                <w:sz w:val="22"/>
                <w:szCs w:val="22"/>
                <w:lang w:eastAsia="en-GB"/>
              </w:rPr>
            </w:pPr>
            <w:r w:rsidRPr="002822D7">
              <w:rPr>
                <w:color w:val="000000"/>
                <w:sz w:val="22"/>
                <w:szCs w:val="22"/>
                <w:lang w:eastAsia="en-GB"/>
              </w:rPr>
              <w:t>80.9%</w:t>
            </w:r>
          </w:p>
        </w:tc>
      </w:tr>
      <w:tr w:rsidR="00FD6D1C" w:rsidRPr="002822D7" w14:paraId="70094135" w14:textId="77777777" w:rsidTr="00341D15">
        <w:trPr>
          <w:trHeight w:val="300"/>
        </w:trPr>
        <w:tc>
          <w:tcPr>
            <w:tcW w:w="1321" w:type="dxa"/>
            <w:shd w:val="clear" w:color="auto" w:fill="auto"/>
            <w:noWrap/>
            <w:vAlign w:val="center"/>
            <w:hideMark/>
          </w:tcPr>
          <w:p w14:paraId="727CCA17" w14:textId="77777777" w:rsidR="00FD6D1C" w:rsidRPr="002822D7" w:rsidRDefault="00FD6D1C" w:rsidP="00341D15">
            <w:pPr>
              <w:jc w:val="center"/>
              <w:rPr>
                <w:color w:val="000000"/>
                <w:sz w:val="22"/>
                <w:szCs w:val="22"/>
                <w:lang w:eastAsia="en-GB"/>
              </w:rPr>
            </w:pPr>
            <w:r w:rsidRPr="002822D7">
              <w:rPr>
                <w:color w:val="000000"/>
                <w:sz w:val="22"/>
                <w:szCs w:val="22"/>
                <w:lang w:eastAsia="en-GB"/>
              </w:rPr>
              <w:t>Sep-16</w:t>
            </w:r>
          </w:p>
        </w:tc>
        <w:tc>
          <w:tcPr>
            <w:tcW w:w="1329" w:type="dxa"/>
            <w:shd w:val="clear" w:color="auto" w:fill="auto"/>
            <w:noWrap/>
            <w:vAlign w:val="center"/>
            <w:hideMark/>
          </w:tcPr>
          <w:p w14:paraId="3861CABE" w14:textId="77777777" w:rsidR="00FD6D1C" w:rsidRPr="002822D7" w:rsidRDefault="00FD6D1C" w:rsidP="00341D15">
            <w:pPr>
              <w:jc w:val="center"/>
              <w:rPr>
                <w:color w:val="000000"/>
                <w:sz w:val="22"/>
                <w:szCs w:val="22"/>
                <w:lang w:eastAsia="en-GB"/>
              </w:rPr>
            </w:pPr>
            <w:r w:rsidRPr="002822D7">
              <w:rPr>
                <w:color w:val="000000"/>
                <w:sz w:val="22"/>
                <w:szCs w:val="22"/>
                <w:lang w:eastAsia="en-GB"/>
              </w:rPr>
              <w:t>2,676</w:t>
            </w:r>
          </w:p>
        </w:tc>
        <w:tc>
          <w:tcPr>
            <w:tcW w:w="1243" w:type="dxa"/>
            <w:shd w:val="clear" w:color="auto" w:fill="auto"/>
            <w:noWrap/>
            <w:vAlign w:val="center"/>
            <w:hideMark/>
          </w:tcPr>
          <w:p w14:paraId="1AABB491" w14:textId="77777777" w:rsidR="00FD6D1C" w:rsidRPr="002822D7" w:rsidRDefault="00FD6D1C" w:rsidP="00341D15">
            <w:pPr>
              <w:jc w:val="center"/>
              <w:rPr>
                <w:color w:val="000000"/>
                <w:sz w:val="22"/>
                <w:szCs w:val="22"/>
                <w:lang w:eastAsia="en-GB"/>
              </w:rPr>
            </w:pPr>
            <w:r w:rsidRPr="002822D7">
              <w:rPr>
                <w:color w:val="000000"/>
                <w:sz w:val="22"/>
                <w:szCs w:val="22"/>
                <w:lang w:eastAsia="en-GB"/>
              </w:rPr>
              <w:t>142</w:t>
            </w:r>
          </w:p>
        </w:tc>
        <w:tc>
          <w:tcPr>
            <w:tcW w:w="1036" w:type="dxa"/>
            <w:shd w:val="clear" w:color="auto" w:fill="auto"/>
            <w:noWrap/>
            <w:vAlign w:val="center"/>
            <w:hideMark/>
          </w:tcPr>
          <w:p w14:paraId="483AD479" w14:textId="77777777" w:rsidR="00FD6D1C" w:rsidRPr="002822D7" w:rsidRDefault="00FD6D1C" w:rsidP="00341D15">
            <w:pPr>
              <w:jc w:val="center"/>
              <w:rPr>
                <w:color w:val="000000"/>
                <w:sz w:val="22"/>
                <w:szCs w:val="22"/>
                <w:lang w:eastAsia="en-GB"/>
              </w:rPr>
            </w:pPr>
            <w:r w:rsidRPr="002822D7">
              <w:rPr>
                <w:color w:val="000000"/>
                <w:sz w:val="22"/>
                <w:szCs w:val="22"/>
                <w:lang w:eastAsia="en-GB"/>
              </w:rPr>
              <w:t>2,818</w:t>
            </w:r>
          </w:p>
        </w:tc>
        <w:tc>
          <w:tcPr>
            <w:tcW w:w="1109" w:type="dxa"/>
            <w:shd w:val="clear" w:color="auto" w:fill="auto"/>
            <w:noWrap/>
            <w:vAlign w:val="center"/>
            <w:hideMark/>
          </w:tcPr>
          <w:p w14:paraId="13F60FD5" w14:textId="77777777" w:rsidR="00FD6D1C" w:rsidRPr="002822D7" w:rsidRDefault="00FD6D1C" w:rsidP="00341D15">
            <w:pPr>
              <w:jc w:val="center"/>
              <w:rPr>
                <w:color w:val="000000"/>
                <w:sz w:val="22"/>
                <w:szCs w:val="22"/>
                <w:lang w:eastAsia="en-GB"/>
              </w:rPr>
            </w:pPr>
            <w:r w:rsidRPr="002822D7">
              <w:rPr>
                <w:color w:val="000000"/>
                <w:sz w:val="22"/>
                <w:szCs w:val="22"/>
                <w:lang w:eastAsia="en-GB"/>
              </w:rPr>
              <w:t>94</w:t>
            </w:r>
          </w:p>
        </w:tc>
        <w:tc>
          <w:tcPr>
            <w:tcW w:w="1279" w:type="dxa"/>
            <w:shd w:val="clear" w:color="auto" w:fill="auto"/>
            <w:noWrap/>
            <w:vAlign w:val="center"/>
            <w:hideMark/>
          </w:tcPr>
          <w:p w14:paraId="61CA2B1B" w14:textId="77777777" w:rsidR="00FD6D1C" w:rsidRPr="002822D7" w:rsidRDefault="00FD6D1C" w:rsidP="00341D15">
            <w:pPr>
              <w:jc w:val="center"/>
              <w:rPr>
                <w:color w:val="000000"/>
                <w:sz w:val="22"/>
                <w:szCs w:val="22"/>
                <w:lang w:eastAsia="en-GB"/>
              </w:rPr>
            </w:pPr>
            <w:r w:rsidRPr="002822D7">
              <w:rPr>
                <w:rFonts w:eastAsia="Calibri"/>
                <w:color w:val="000000"/>
                <w:sz w:val="22"/>
                <w:szCs w:val="22"/>
                <w:lang w:eastAsia="en-GB"/>
              </w:rPr>
              <w:t>3.45%</w:t>
            </w:r>
          </w:p>
        </w:tc>
        <w:tc>
          <w:tcPr>
            <w:tcW w:w="1060" w:type="dxa"/>
            <w:shd w:val="clear" w:color="auto" w:fill="auto"/>
            <w:noWrap/>
            <w:vAlign w:val="center"/>
            <w:hideMark/>
          </w:tcPr>
          <w:p w14:paraId="23E484A6" w14:textId="77777777" w:rsidR="00FD6D1C" w:rsidRPr="002822D7" w:rsidRDefault="00FD6D1C" w:rsidP="00341D15">
            <w:pPr>
              <w:jc w:val="center"/>
              <w:rPr>
                <w:color w:val="000000"/>
                <w:sz w:val="22"/>
                <w:szCs w:val="22"/>
                <w:lang w:eastAsia="en-GB"/>
              </w:rPr>
            </w:pPr>
            <w:r w:rsidRPr="002822D7">
              <w:rPr>
                <w:rFonts w:eastAsia="Calibri"/>
                <w:color w:val="000000"/>
                <w:sz w:val="22"/>
                <w:szCs w:val="22"/>
                <w:lang w:eastAsia="en-GB"/>
              </w:rPr>
              <w:t>2,377</w:t>
            </w:r>
          </w:p>
        </w:tc>
        <w:tc>
          <w:tcPr>
            <w:tcW w:w="1060" w:type="dxa"/>
            <w:shd w:val="clear" w:color="auto" w:fill="auto"/>
            <w:noWrap/>
            <w:vAlign w:val="center"/>
            <w:hideMark/>
          </w:tcPr>
          <w:p w14:paraId="10C1A5FB" w14:textId="77777777" w:rsidR="00FD6D1C" w:rsidRPr="002822D7" w:rsidRDefault="00FD6D1C" w:rsidP="00341D15">
            <w:pPr>
              <w:jc w:val="center"/>
              <w:rPr>
                <w:color w:val="000000"/>
                <w:sz w:val="22"/>
                <w:szCs w:val="22"/>
                <w:lang w:eastAsia="en-GB"/>
              </w:rPr>
            </w:pPr>
            <w:r w:rsidRPr="002822D7">
              <w:rPr>
                <w:rFonts w:eastAsia="Calibri"/>
                <w:color w:val="000000"/>
                <w:sz w:val="22"/>
                <w:szCs w:val="22"/>
                <w:lang w:eastAsia="en-GB"/>
              </w:rPr>
              <w:t>84.4%</w:t>
            </w:r>
          </w:p>
        </w:tc>
      </w:tr>
      <w:tr w:rsidR="00FD6D1C" w:rsidRPr="002822D7" w14:paraId="3C7BF158" w14:textId="77777777" w:rsidTr="00341D15">
        <w:trPr>
          <w:trHeight w:val="300"/>
        </w:trPr>
        <w:tc>
          <w:tcPr>
            <w:tcW w:w="1321" w:type="dxa"/>
            <w:shd w:val="clear" w:color="auto" w:fill="auto"/>
            <w:noWrap/>
            <w:vAlign w:val="center"/>
            <w:hideMark/>
          </w:tcPr>
          <w:p w14:paraId="2E1782D8" w14:textId="77777777" w:rsidR="00FD6D1C" w:rsidRPr="002822D7" w:rsidRDefault="00FD6D1C" w:rsidP="00341D15">
            <w:pPr>
              <w:jc w:val="center"/>
              <w:rPr>
                <w:color w:val="000000"/>
                <w:sz w:val="22"/>
                <w:szCs w:val="22"/>
                <w:lang w:eastAsia="en-GB"/>
              </w:rPr>
            </w:pPr>
            <w:r w:rsidRPr="002822D7">
              <w:rPr>
                <w:color w:val="000000"/>
                <w:sz w:val="22"/>
                <w:szCs w:val="22"/>
                <w:lang w:eastAsia="en-GB"/>
              </w:rPr>
              <w:t>Sep-17</w:t>
            </w:r>
          </w:p>
        </w:tc>
        <w:tc>
          <w:tcPr>
            <w:tcW w:w="1329" w:type="dxa"/>
            <w:shd w:val="clear" w:color="auto" w:fill="auto"/>
            <w:noWrap/>
            <w:vAlign w:val="center"/>
            <w:hideMark/>
          </w:tcPr>
          <w:p w14:paraId="57036438" w14:textId="77777777" w:rsidR="00FD6D1C" w:rsidRPr="002822D7" w:rsidRDefault="00FD6D1C" w:rsidP="00341D15">
            <w:pPr>
              <w:jc w:val="center"/>
              <w:rPr>
                <w:color w:val="000000"/>
                <w:sz w:val="22"/>
                <w:szCs w:val="22"/>
                <w:lang w:eastAsia="en-GB"/>
              </w:rPr>
            </w:pPr>
            <w:r w:rsidRPr="002822D7">
              <w:rPr>
                <w:color w:val="000000"/>
                <w:sz w:val="22"/>
                <w:szCs w:val="22"/>
                <w:lang w:eastAsia="en-GB"/>
              </w:rPr>
              <w:t>2,753</w:t>
            </w:r>
          </w:p>
        </w:tc>
        <w:tc>
          <w:tcPr>
            <w:tcW w:w="1243" w:type="dxa"/>
            <w:shd w:val="clear" w:color="auto" w:fill="auto"/>
            <w:noWrap/>
            <w:vAlign w:val="center"/>
            <w:hideMark/>
          </w:tcPr>
          <w:p w14:paraId="3828AAAF" w14:textId="77777777" w:rsidR="00FD6D1C" w:rsidRPr="002822D7" w:rsidRDefault="00FD6D1C" w:rsidP="00341D15">
            <w:pPr>
              <w:jc w:val="center"/>
              <w:rPr>
                <w:color w:val="000000"/>
                <w:sz w:val="22"/>
                <w:szCs w:val="22"/>
                <w:lang w:eastAsia="en-GB"/>
              </w:rPr>
            </w:pPr>
            <w:r w:rsidRPr="002822D7">
              <w:rPr>
                <w:color w:val="000000"/>
                <w:sz w:val="22"/>
                <w:szCs w:val="22"/>
                <w:lang w:eastAsia="en-GB"/>
              </w:rPr>
              <w:t>75</w:t>
            </w:r>
          </w:p>
        </w:tc>
        <w:tc>
          <w:tcPr>
            <w:tcW w:w="1036" w:type="dxa"/>
            <w:shd w:val="clear" w:color="auto" w:fill="auto"/>
            <w:noWrap/>
            <w:vAlign w:val="center"/>
            <w:hideMark/>
          </w:tcPr>
          <w:p w14:paraId="0B28DC76" w14:textId="77777777" w:rsidR="00FD6D1C" w:rsidRPr="002822D7" w:rsidRDefault="00FD6D1C" w:rsidP="00341D15">
            <w:pPr>
              <w:jc w:val="center"/>
              <w:rPr>
                <w:color w:val="000000"/>
                <w:sz w:val="22"/>
                <w:szCs w:val="22"/>
                <w:lang w:eastAsia="en-GB"/>
              </w:rPr>
            </w:pPr>
            <w:r w:rsidRPr="002822D7">
              <w:rPr>
                <w:color w:val="000000"/>
                <w:sz w:val="22"/>
                <w:szCs w:val="22"/>
                <w:lang w:eastAsia="en-GB"/>
              </w:rPr>
              <w:t>2,828</w:t>
            </w:r>
          </w:p>
        </w:tc>
        <w:tc>
          <w:tcPr>
            <w:tcW w:w="1109" w:type="dxa"/>
            <w:shd w:val="clear" w:color="auto" w:fill="auto"/>
            <w:noWrap/>
            <w:vAlign w:val="center"/>
            <w:hideMark/>
          </w:tcPr>
          <w:p w14:paraId="399E4906" w14:textId="77777777" w:rsidR="00FD6D1C" w:rsidRPr="002822D7" w:rsidRDefault="00FD6D1C" w:rsidP="00341D15">
            <w:pPr>
              <w:jc w:val="center"/>
              <w:rPr>
                <w:color w:val="000000"/>
                <w:sz w:val="22"/>
                <w:szCs w:val="22"/>
                <w:lang w:eastAsia="en-GB"/>
              </w:rPr>
            </w:pPr>
            <w:r w:rsidRPr="002822D7">
              <w:rPr>
                <w:color w:val="000000"/>
                <w:sz w:val="22"/>
                <w:szCs w:val="22"/>
                <w:lang w:eastAsia="en-GB"/>
              </w:rPr>
              <w:t>10</w:t>
            </w:r>
          </w:p>
        </w:tc>
        <w:tc>
          <w:tcPr>
            <w:tcW w:w="1279" w:type="dxa"/>
            <w:shd w:val="clear" w:color="auto" w:fill="auto"/>
            <w:noWrap/>
            <w:vAlign w:val="center"/>
            <w:hideMark/>
          </w:tcPr>
          <w:p w14:paraId="086440D4" w14:textId="77777777" w:rsidR="00FD6D1C" w:rsidRPr="002822D7" w:rsidRDefault="00FD6D1C" w:rsidP="00341D15">
            <w:pPr>
              <w:jc w:val="center"/>
              <w:rPr>
                <w:color w:val="000000"/>
                <w:sz w:val="22"/>
                <w:szCs w:val="22"/>
                <w:lang w:eastAsia="en-GB"/>
              </w:rPr>
            </w:pPr>
            <w:r w:rsidRPr="002822D7">
              <w:rPr>
                <w:rFonts w:eastAsia="Calibri"/>
                <w:color w:val="000000"/>
                <w:sz w:val="22"/>
                <w:szCs w:val="22"/>
                <w:lang w:eastAsia="en-GB"/>
              </w:rPr>
              <w:t>0.35%</w:t>
            </w:r>
          </w:p>
        </w:tc>
        <w:tc>
          <w:tcPr>
            <w:tcW w:w="1060" w:type="dxa"/>
            <w:shd w:val="clear" w:color="auto" w:fill="auto"/>
            <w:noWrap/>
            <w:vAlign w:val="center"/>
            <w:hideMark/>
          </w:tcPr>
          <w:p w14:paraId="0917A9BC" w14:textId="77777777" w:rsidR="00FD6D1C" w:rsidRPr="002822D7" w:rsidRDefault="00FD6D1C" w:rsidP="00341D15">
            <w:pPr>
              <w:jc w:val="center"/>
              <w:rPr>
                <w:color w:val="000000"/>
                <w:sz w:val="22"/>
                <w:szCs w:val="22"/>
                <w:lang w:eastAsia="en-GB"/>
              </w:rPr>
            </w:pPr>
            <w:r w:rsidRPr="002822D7">
              <w:rPr>
                <w:color w:val="000000"/>
                <w:sz w:val="22"/>
                <w:szCs w:val="22"/>
                <w:lang w:eastAsia="en-GB"/>
              </w:rPr>
              <w:t>2,347</w:t>
            </w:r>
          </w:p>
        </w:tc>
        <w:tc>
          <w:tcPr>
            <w:tcW w:w="1060" w:type="dxa"/>
            <w:shd w:val="clear" w:color="auto" w:fill="auto"/>
            <w:noWrap/>
            <w:vAlign w:val="center"/>
            <w:hideMark/>
          </w:tcPr>
          <w:p w14:paraId="6BD744EC" w14:textId="77777777" w:rsidR="00FD6D1C" w:rsidRPr="002822D7" w:rsidRDefault="00FD6D1C" w:rsidP="00341D15">
            <w:pPr>
              <w:jc w:val="center"/>
              <w:rPr>
                <w:color w:val="000000"/>
                <w:sz w:val="22"/>
                <w:szCs w:val="22"/>
                <w:lang w:eastAsia="en-GB"/>
              </w:rPr>
            </w:pPr>
            <w:r w:rsidRPr="002822D7">
              <w:rPr>
                <w:color w:val="000000"/>
                <w:sz w:val="22"/>
                <w:szCs w:val="22"/>
                <w:lang w:eastAsia="en-GB"/>
              </w:rPr>
              <w:t>83.0%</w:t>
            </w:r>
          </w:p>
        </w:tc>
      </w:tr>
      <w:tr w:rsidR="00FD6D1C" w:rsidRPr="002822D7" w14:paraId="1256A460" w14:textId="77777777" w:rsidTr="00341D15">
        <w:trPr>
          <w:trHeight w:val="300"/>
        </w:trPr>
        <w:tc>
          <w:tcPr>
            <w:tcW w:w="1321" w:type="dxa"/>
            <w:shd w:val="clear" w:color="auto" w:fill="auto"/>
            <w:noWrap/>
            <w:vAlign w:val="center"/>
            <w:hideMark/>
          </w:tcPr>
          <w:p w14:paraId="79E68E1D" w14:textId="77777777" w:rsidR="00FD6D1C" w:rsidRPr="002822D7" w:rsidRDefault="00FD6D1C" w:rsidP="00341D15">
            <w:pPr>
              <w:jc w:val="center"/>
              <w:rPr>
                <w:color w:val="000000"/>
                <w:sz w:val="22"/>
                <w:szCs w:val="22"/>
                <w:lang w:eastAsia="en-GB"/>
              </w:rPr>
            </w:pPr>
            <w:r w:rsidRPr="002822D7">
              <w:rPr>
                <w:color w:val="000000"/>
                <w:sz w:val="22"/>
                <w:szCs w:val="22"/>
                <w:lang w:eastAsia="en-GB"/>
              </w:rPr>
              <w:t>Sep-18</w:t>
            </w:r>
          </w:p>
        </w:tc>
        <w:tc>
          <w:tcPr>
            <w:tcW w:w="1329" w:type="dxa"/>
            <w:shd w:val="clear" w:color="auto" w:fill="auto"/>
            <w:noWrap/>
            <w:vAlign w:val="center"/>
            <w:hideMark/>
          </w:tcPr>
          <w:p w14:paraId="1CE6E3E0" w14:textId="77777777" w:rsidR="00FD6D1C" w:rsidRPr="002822D7" w:rsidRDefault="00FD6D1C" w:rsidP="00341D15">
            <w:pPr>
              <w:jc w:val="center"/>
              <w:rPr>
                <w:color w:val="000000"/>
                <w:sz w:val="22"/>
                <w:szCs w:val="22"/>
                <w:lang w:eastAsia="en-GB"/>
              </w:rPr>
            </w:pPr>
            <w:r w:rsidRPr="002822D7">
              <w:rPr>
                <w:color w:val="000000"/>
                <w:sz w:val="22"/>
                <w:szCs w:val="22"/>
                <w:lang w:eastAsia="en-GB"/>
              </w:rPr>
              <w:t>2,749</w:t>
            </w:r>
          </w:p>
        </w:tc>
        <w:tc>
          <w:tcPr>
            <w:tcW w:w="1243" w:type="dxa"/>
            <w:shd w:val="clear" w:color="auto" w:fill="auto"/>
            <w:noWrap/>
            <w:vAlign w:val="center"/>
            <w:hideMark/>
          </w:tcPr>
          <w:p w14:paraId="60C0CD3C" w14:textId="77777777" w:rsidR="00FD6D1C" w:rsidRPr="002822D7" w:rsidRDefault="00FD6D1C" w:rsidP="00341D15">
            <w:pPr>
              <w:jc w:val="center"/>
              <w:rPr>
                <w:color w:val="000000"/>
                <w:sz w:val="22"/>
                <w:szCs w:val="22"/>
                <w:lang w:eastAsia="en-GB"/>
              </w:rPr>
            </w:pPr>
            <w:r w:rsidRPr="002822D7">
              <w:rPr>
                <w:color w:val="000000"/>
                <w:sz w:val="22"/>
                <w:szCs w:val="22"/>
                <w:lang w:eastAsia="en-GB"/>
              </w:rPr>
              <w:t>139</w:t>
            </w:r>
          </w:p>
        </w:tc>
        <w:tc>
          <w:tcPr>
            <w:tcW w:w="1036" w:type="dxa"/>
            <w:shd w:val="clear" w:color="auto" w:fill="auto"/>
            <w:noWrap/>
            <w:vAlign w:val="center"/>
            <w:hideMark/>
          </w:tcPr>
          <w:p w14:paraId="5F8E4DDD" w14:textId="77777777" w:rsidR="00FD6D1C" w:rsidRPr="002822D7" w:rsidRDefault="00FD6D1C" w:rsidP="00341D15">
            <w:pPr>
              <w:jc w:val="center"/>
              <w:rPr>
                <w:color w:val="000000"/>
                <w:sz w:val="22"/>
                <w:szCs w:val="22"/>
                <w:lang w:eastAsia="en-GB"/>
              </w:rPr>
            </w:pPr>
            <w:r w:rsidRPr="002822D7">
              <w:rPr>
                <w:color w:val="000000"/>
                <w:sz w:val="22"/>
                <w:szCs w:val="22"/>
                <w:lang w:eastAsia="en-GB"/>
              </w:rPr>
              <w:t>2,888</w:t>
            </w:r>
          </w:p>
        </w:tc>
        <w:tc>
          <w:tcPr>
            <w:tcW w:w="1109" w:type="dxa"/>
            <w:shd w:val="clear" w:color="auto" w:fill="auto"/>
            <w:noWrap/>
            <w:vAlign w:val="center"/>
            <w:hideMark/>
          </w:tcPr>
          <w:p w14:paraId="714DF3AB" w14:textId="77777777" w:rsidR="00FD6D1C" w:rsidRPr="002822D7" w:rsidRDefault="00FD6D1C" w:rsidP="00341D15">
            <w:pPr>
              <w:jc w:val="center"/>
              <w:rPr>
                <w:color w:val="000000"/>
                <w:sz w:val="22"/>
                <w:szCs w:val="22"/>
                <w:lang w:eastAsia="en-GB"/>
              </w:rPr>
            </w:pPr>
            <w:r w:rsidRPr="002822D7">
              <w:rPr>
                <w:color w:val="000000"/>
                <w:sz w:val="22"/>
                <w:szCs w:val="22"/>
                <w:lang w:eastAsia="en-GB"/>
              </w:rPr>
              <w:t>60</w:t>
            </w:r>
          </w:p>
        </w:tc>
        <w:tc>
          <w:tcPr>
            <w:tcW w:w="1279" w:type="dxa"/>
            <w:shd w:val="clear" w:color="auto" w:fill="auto"/>
            <w:noWrap/>
            <w:vAlign w:val="center"/>
            <w:hideMark/>
          </w:tcPr>
          <w:p w14:paraId="5689E5E6" w14:textId="77777777" w:rsidR="00FD6D1C" w:rsidRPr="002822D7" w:rsidRDefault="00FD6D1C" w:rsidP="00341D15">
            <w:pPr>
              <w:jc w:val="center"/>
              <w:rPr>
                <w:color w:val="000000"/>
                <w:sz w:val="22"/>
                <w:szCs w:val="22"/>
                <w:lang w:eastAsia="en-GB"/>
              </w:rPr>
            </w:pPr>
            <w:r w:rsidRPr="002822D7">
              <w:rPr>
                <w:rFonts w:eastAsia="Calibri"/>
                <w:color w:val="000000"/>
                <w:sz w:val="22"/>
                <w:szCs w:val="22"/>
                <w:lang w:eastAsia="en-GB"/>
              </w:rPr>
              <w:t>2.12%</w:t>
            </w:r>
          </w:p>
        </w:tc>
        <w:tc>
          <w:tcPr>
            <w:tcW w:w="1060" w:type="dxa"/>
            <w:shd w:val="clear" w:color="auto" w:fill="auto"/>
            <w:noWrap/>
            <w:vAlign w:val="center"/>
            <w:hideMark/>
          </w:tcPr>
          <w:p w14:paraId="03458F49" w14:textId="77777777" w:rsidR="00FD6D1C" w:rsidRPr="002822D7" w:rsidRDefault="00FD6D1C" w:rsidP="00341D15">
            <w:pPr>
              <w:jc w:val="center"/>
              <w:rPr>
                <w:color w:val="000000"/>
                <w:sz w:val="22"/>
                <w:szCs w:val="22"/>
                <w:lang w:eastAsia="en-GB"/>
              </w:rPr>
            </w:pPr>
            <w:r w:rsidRPr="002822D7">
              <w:rPr>
                <w:rFonts w:eastAsia="Calibri"/>
                <w:color w:val="000000"/>
                <w:sz w:val="22"/>
                <w:szCs w:val="22"/>
                <w:lang w:eastAsia="en-GB"/>
              </w:rPr>
              <w:t>2,534</w:t>
            </w:r>
          </w:p>
        </w:tc>
        <w:tc>
          <w:tcPr>
            <w:tcW w:w="1060" w:type="dxa"/>
            <w:shd w:val="clear" w:color="auto" w:fill="auto"/>
            <w:noWrap/>
            <w:vAlign w:val="center"/>
            <w:hideMark/>
          </w:tcPr>
          <w:p w14:paraId="1E96981F" w14:textId="77777777" w:rsidR="00FD6D1C" w:rsidRPr="002822D7" w:rsidRDefault="00FD6D1C" w:rsidP="00341D15">
            <w:pPr>
              <w:jc w:val="center"/>
              <w:rPr>
                <w:color w:val="000000"/>
                <w:sz w:val="22"/>
                <w:szCs w:val="22"/>
                <w:lang w:eastAsia="en-GB"/>
              </w:rPr>
            </w:pPr>
            <w:r w:rsidRPr="002822D7">
              <w:rPr>
                <w:rFonts w:eastAsia="Calibri"/>
                <w:color w:val="000000"/>
                <w:sz w:val="22"/>
                <w:szCs w:val="22"/>
                <w:lang w:eastAsia="en-GB"/>
              </w:rPr>
              <w:t>87.7%</w:t>
            </w:r>
          </w:p>
        </w:tc>
      </w:tr>
      <w:tr w:rsidR="00FD6D1C" w:rsidRPr="002822D7" w14:paraId="4D8D1174" w14:textId="77777777" w:rsidTr="00341D15">
        <w:trPr>
          <w:trHeight w:val="300"/>
        </w:trPr>
        <w:tc>
          <w:tcPr>
            <w:tcW w:w="1321" w:type="dxa"/>
            <w:shd w:val="clear" w:color="auto" w:fill="auto"/>
            <w:noWrap/>
            <w:vAlign w:val="center"/>
            <w:hideMark/>
          </w:tcPr>
          <w:p w14:paraId="20ECA974" w14:textId="77777777" w:rsidR="00FD6D1C" w:rsidRPr="002822D7" w:rsidRDefault="00FD6D1C" w:rsidP="00341D15">
            <w:pPr>
              <w:jc w:val="center"/>
              <w:rPr>
                <w:color w:val="000000"/>
                <w:sz w:val="22"/>
                <w:szCs w:val="22"/>
                <w:lang w:eastAsia="en-GB"/>
              </w:rPr>
            </w:pPr>
            <w:r w:rsidRPr="002822D7">
              <w:rPr>
                <w:color w:val="000000"/>
                <w:sz w:val="22"/>
                <w:szCs w:val="22"/>
                <w:lang w:eastAsia="en-GB"/>
              </w:rPr>
              <w:t>Sep-19</w:t>
            </w:r>
          </w:p>
        </w:tc>
        <w:tc>
          <w:tcPr>
            <w:tcW w:w="1329" w:type="dxa"/>
            <w:shd w:val="clear" w:color="auto" w:fill="auto"/>
            <w:noWrap/>
            <w:vAlign w:val="center"/>
            <w:hideMark/>
          </w:tcPr>
          <w:p w14:paraId="322D91EC" w14:textId="77777777" w:rsidR="00FD6D1C" w:rsidRPr="002822D7" w:rsidRDefault="00FD6D1C" w:rsidP="00341D15">
            <w:pPr>
              <w:jc w:val="center"/>
              <w:rPr>
                <w:color w:val="000000"/>
                <w:sz w:val="22"/>
                <w:szCs w:val="22"/>
                <w:lang w:eastAsia="en-GB"/>
              </w:rPr>
            </w:pPr>
            <w:r w:rsidRPr="002822D7">
              <w:rPr>
                <w:color w:val="000000"/>
                <w:sz w:val="22"/>
                <w:szCs w:val="22"/>
                <w:lang w:eastAsia="en-GB"/>
              </w:rPr>
              <w:t>2,914</w:t>
            </w:r>
          </w:p>
        </w:tc>
        <w:tc>
          <w:tcPr>
            <w:tcW w:w="1243" w:type="dxa"/>
            <w:shd w:val="clear" w:color="auto" w:fill="auto"/>
            <w:noWrap/>
            <w:vAlign w:val="center"/>
            <w:hideMark/>
          </w:tcPr>
          <w:p w14:paraId="1943C8DA" w14:textId="77777777" w:rsidR="00FD6D1C" w:rsidRPr="002822D7" w:rsidRDefault="00FD6D1C" w:rsidP="00341D15">
            <w:pPr>
              <w:jc w:val="center"/>
              <w:rPr>
                <w:color w:val="000000"/>
                <w:sz w:val="22"/>
                <w:szCs w:val="22"/>
                <w:lang w:eastAsia="en-GB"/>
              </w:rPr>
            </w:pPr>
            <w:r w:rsidRPr="002822D7">
              <w:rPr>
                <w:color w:val="000000"/>
                <w:sz w:val="22"/>
                <w:szCs w:val="22"/>
                <w:lang w:eastAsia="en-GB"/>
              </w:rPr>
              <w:t>104</w:t>
            </w:r>
          </w:p>
        </w:tc>
        <w:tc>
          <w:tcPr>
            <w:tcW w:w="1036" w:type="dxa"/>
            <w:shd w:val="clear" w:color="auto" w:fill="auto"/>
            <w:noWrap/>
            <w:vAlign w:val="center"/>
            <w:hideMark/>
          </w:tcPr>
          <w:p w14:paraId="587D1CEC" w14:textId="77777777" w:rsidR="00FD6D1C" w:rsidRPr="002822D7" w:rsidRDefault="00FD6D1C" w:rsidP="00341D15">
            <w:pPr>
              <w:jc w:val="center"/>
              <w:rPr>
                <w:color w:val="000000"/>
                <w:sz w:val="22"/>
                <w:szCs w:val="22"/>
                <w:lang w:eastAsia="en-GB"/>
              </w:rPr>
            </w:pPr>
            <w:r w:rsidRPr="002822D7">
              <w:rPr>
                <w:color w:val="000000"/>
                <w:sz w:val="22"/>
                <w:szCs w:val="22"/>
                <w:lang w:eastAsia="en-GB"/>
              </w:rPr>
              <w:t>3,018</w:t>
            </w:r>
          </w:p>
        </w:tc>
        <w:tc>
          <w:tcPr>
            <w:tcW w:w="1109" w:type="dxa"/>
            <w:shd w:val="clear" w:color="auto" w:fill="auto"/>
            <w:noWrap/>
            <w:vAlign w:val="center"/>
            <w:hideMark/>
          </w:tcPr>
          <w:p w14:paraId="52CB7FBF" w14:textId="77777777" w:rsidR="00FD6D1C" w:rsidRPr="002822D7" w:rsidRDefault="00FD6D1C" w:rsidP="00341D15">
            <w:pPr>
              <w:jc w:val="center"/>
              <w:rPr>
                <w:color w:val="000000"/>
                <w:sz w:val="22"/>
                <w:szCs w:val="22"/>
                <w:lang w:eastAsia="en-GB"/>
              </w:rPr>
            </w:pPr>
            <w:r w:rsidRPr="002822D7">
              <w:rPr>
                <w:color w:val="000000"/>
                <w:sz w:val="22"/>
                <w:szCs w:val="22"/>
                <w:lang w:eastAsia="en-GB"/>
              </w:rPr>
              <w:t>130</w:t>
            </w:r>
          </w:p>
        </w:tc>
        <w:tc>
          <w:tcPr>
            <w:tcW w:w="1279" w:type="dxa"/>
            <w:shd w:val="clear" w:color="auto" w:fill="auto"/>
            <w:noWrap/>
            <w:vAlign w:val="center"/>
            <w:hideMark/>
          </w:tcPr>
          <w:p w14:paraId="63F09F72" w14:textId="77777777" w:rsidR="00FD6D1C" w:rsidRPr="002822D7" w:rsidRDefault="00FD6D1C" w:rsidP="00341D15">
            <w:pPr>
              <w:jc w:val="center"/>
              <w:rPr>
                <w:color w:val="000000"/>
                <w:sz w:val="22"/>
                <w:szCs w:val="22"/>
                <w:lang w:eastAsia="en-GB"/>
              </w:rPr>
            </w:pPr>
            <w:r w:rsidRPr="002822D7">
              <w:rPr>
                <w:rFonts w:eastAsia="Calibri"/>
                <w:color w:val="000000"/>
                <w:sz w:val="22"/>
                <w:szCs w:val="22"/>
                <w:lang w:eastAsia="en-GB"/>
              </w:rPr>
              <w:t>4.50%</w:t>
            </w:r>
          </w:p>
        </w:tc>
        <w:tc>
          <w:tcPr>
            <w:tcW w:w="1060" w:type="dxa"/>
            <w:shd w:val="clear" w:color="auto" w:fill="auto"/>
            <w:noWrap/>
            <w:vAlign w:val="center"/>
            <w:hideMark/>
          </w:tcPr>
          <w:p w14:paraId="2121C92F" w14:textId="77777777" w:rsidR="00FD6D1C" w:rsidRPr="002822D7" w:rsidRDefault="00FD6D1C" w:rsidP="00341D15">
            <w:pPr>
              <w:jc w:val="center"/>
              <w:rPr>
                <w:color w:val="000000"/>
                <w:sz w:val="22"/>
                <w:szCs w:val="22"/>
                <w:lang w:eastAsia="en-GB"/>
              </w:rPr>
            </w:pPr>
            <w:r w:rsidRPr="002822D7">
              <w:rPr>
                <w:color w:val="000000"/>
                <w:sz w:val="22"/>
                <w:szCs w:val="22"/>
                <w:lang w:eastAsia="en-GB"/>
              </w:rPr>
              <w:t>2,670</w:t>
            </w:r>
          </w:p>
        </w:tc>
        <w:tc>
          <w:tcPr>
            <w:tcW w:w="1060" w:type="dxa"/>
            <w:shd w:val="clear" w:color="auto" w:fill="auto"/>
            <w:noWrap/>
            <w:vAlign w:val="center"/>
            <w:hideMark/>
          </w:tcPr>
          <w:p w14:paraId="282FD1B7" w14:textId="77777777" w:rsidR="00FD6D1C" w:rsidRPr="002822D7" w:rsidRDefault="00FD6D1C" w:rsidP="00341D15">
            <w:pPr>
              <w:jc w:val="center"/>
              <w:rPr>
                <w:color w:val="000000"/>
                <w:sz w:val="22"/>
                <w:szCs w:val="22"/>
                <w:lang w:eastAsia="en-GB"/>
              </w:rPr>
            </w:pPr>
            <w:r w:rsidRPr="002822D7">
              <w:rPr>
                <w:color w:val="000000"/>
                <w:sz w:val="22"/>
                <w:szCs w:val="22"/>
                <w:lang w:eastAsia="en-GB"/>
              </w:rPr>
              <w:t>88.5%</w:t>
            </w:r>
          </w:p>
        </w:tc>
      </w:tr>
      <w:tr w:rsidR="00FD6D1C" w:rsidRPr="002822D7" w14:paraId="0D1AE434" w14:textId="77777777" w:rsidTr="00341D15">
        <w:trPr>
          <w:trHeight w:val="300"/>
        </w:trPr>
        <w:tc>
          <w:tcPr>
            <w:tcW w:w="1321" w:type="dxa"/>
            <w:shd w:val="clear" w:color="auto" w:fill="auto"/>
            <w:noWrap/>
            <w:vAlign w:val="center"/>
            <w:hideMark/>
          </w:tcPr>
          <w:p w14:paraId="37E35CEB" w14:textId="77777777" w:rsidR="00FD6D1C" w:rsidRPr="002822D7" w:rsidRDefault="00FD6D1C" w:rsidP="00341D15">
            <w:pPr>
              <w:jc w:val="center"/>
              <w:rPr>
                <w:color w:val="000000"/>
                <w:sz w:val="22"/>
                <w:szCs w:val="22"/>
                <w:lang w:eastAsia="en-GB"/>
              </w:rPr>
            </w:pPr>
            <w:r w:rsidRPr="002822D7">
              <w:rPr>
                <w:color w:val="000000"/>
                <w:sz w:val="22"/>
                <w:szCs w:val="22"/>
                <w:lang w:eastAsia="en-GB"/>
              </w:rPr>
              <w:t>Sep-20</w:t>
            </w:r>
          </w:p>
        </w:tc>
        <w:tc>
          <w:tcPr>
            <w:tcW w:w="1329" w:type="dxa"/>
            <w:shd w:val="clear" w:color="auto" w:fill="auto"/>
            <w:noWrap/>
            <w:vAlign w:val="center"/>
            <w:hideMark/>
          </w:tcPr>
          <w:p w14:paraId="28706BAE" w14:textId="77777777" w:rsidR="00FD6D1C" w:rsidRPr="002822D7" w:rsidRDefault="00FD6D1C" w:rsidP="00341D15">
            <w:pPr>
              <w:jc w:val="center"/>
              <w:rPr>
                <w:color w:val="000000"/>
                <w:sz w:val="22"/>
                <w:szCs w:val="22"/>
                <w:lang w:eastAsia="en-GB"/>
              </w:rPr>
            </w:pPr>
            <w:r w:rsidRPr="002822D7">
              <w:rPr>
                <w:color w:val="000000"/>
                <w:sz w:val="22"/>
                <w:szCs w:val="22"/>
                <w:lang w:eastAsia="en-GB"/>
              </w:rPr>
              <w:t>2,986</w:t>
            </w:r>
          </w:p>
        </w:tc>
        <w:tc>
          <w:tcPr>
            <w:tcW w:w="1243" w:type="dxa"/>
            <w:shd w:val="clear" w:color="auto" w:fill="auto"/>
            <w:noWrap/>
            <w:vAlign w:val="center"/>
            <w:hideMark/>
          </w:tcPr>
          <w:p w14:paraId="7BDFB08C" w14:textId="77777777" w:rsidR="00FD6D1C" w:rsidRPr="002822D7" w:rsidRDefault="00FD6D1C" w:rsidP="00341D15">
            <w:pPr>
              <w:jc w:val="center"/>
              <w:rPr>
                <w:color w:val="000000"/>
                <w:sz w:val="22"/>
                <w:szCs w:val="22"/>
                <w:lang w:eastAsia="en-GB"/>
              </w:rPr>
            </w:pPr>
            <w:r w:rsidRPr="002822D7">
              <w:rPr>
                <w:color w:val="000000"/>
                <w:sz w:val="22"/>
                <w:szCs w:val="22"/>
                <w:lang w:eastAsia="en-GB"/>
              </w:rPr>
              <w:t>83</w:t>
            </w:r>
          </w:p>
        </w:tc>
        <w:tc>
          <w:tcPr>
            <w:tcW w:w="1036" w:type="dxa"/>
            <w:shd w:val="clear" w:color="auto" w:fill="auto"/>
            <w:noWrap/>
            <w:vAlign w:val="center"/>
            <w:hideMark/>
          </w:tcPr>
          <w:p w14:paraId="4F84EFDB" w14:textId="77777777" w:rsidR="00FD6D1C" w:rsidRPr="002822D7" w:rsidRDefault="00FD6D1C" w:rsidP="00341D15">
            <w:pPr>
              <w:jc w:val="center"/>
              <w:rPr>
                <w:color w:val="000000"/>
                <w:sz w:val="22"/>
                <w:szCs w:val="22"/>
                <w:lang w:eastAsia="en-GB"/>
              </w:rPr>
            </w:pPr>
            <w:r w:rsidRPr="002822D7">
              <w:rPr>
                <w:color w:val="000000"/>
                <w:sz w:val="22"/>
                <w:szCs w:val="22"/>
                <w:lang w:eastAsia="en-GB"/>
              </w:rPr>
              <w:t>3,069</w:t>
            </w:r>
          </w:p>
        </w:tc>
        <w:tc>
          <w:tcPr>
            <w:tcW w:w="1109" w:type="dxa"/>
            <w:shd w:val="clear" w:color="auto" w:fill="auto"/>
            <w:noWrap/>
            <w:vAlign w:val="center"/>
            <w:hideMark/>
          </w:tcPr>
          <w:p w14:paraId="39F28E48" w14:textId="77777777" w:rsidR="00FD6D1C" w:rsidRPr="002822D7" w:rsidRDefault="00FD6D1C" w:rsidP="00341D15">
            <w:pPr>
              <w:jc w:val="center"/>
              <w:rPr>
                <w:sz w:val="22"/>
                <w:szCs w:val="22"/>
                <w:lang w:eastAsia="en-GB"/>
              </w:rPr>
            </w:pPr>
            <w:r w:rsidRPr="002822D7">
              <w:rPr>
                <w:sz w:val="22"/>
                <w:szCs w:val="22"/>
                <w:lang w:eastAsia="en-GB"/>
              </w:rPr>
              <w:t>51</w:t>
            </w:r>
          </w:p>
        </w:tc>
        <w:tc>
          <w:tcPr>
            <w:tcW w:w="1279" w:type="dxa"/>
            <w:shd w:val="clear" w:color="auto" w:fill="auto"/>
            <w:noWrap/>
            <w:vAlign w:val="center"/>
            <w:hideMark/>
          </w:tcPr>
          <w:p w14:paraId="29494550" w14:textId="77777777" w:rsidR="00FD6D1C" w:rsidRPr="002822D7" w:rsidRDefault="00FD6D1C" w:rsidP="00341D15">
            <w:pPr>
              <w:jc w:val="center"/>
              <w:rPr>
                <w:sz w:val="22"/>
                <w:szCs w:val="22"/>
                <w:lang w:eastAsia="en-GB"/>
              </w:rPr>
            </w:pPr>
            <w:r w:rsidRPr="002822D7">
              <w:rPr>
                <w:sz w:val="22"/>
                <w:szCs w:val="22"/>
                <w:lang w:eastAsia="en-GB"/>
              </w:rPr>
              <w:t>1.69%</w:t>
            </w:r>
          </w:p>
        </w:tc>
        <w:tc>
          <w:tcPr>
            <w:tcW w:w="1060" w:type="dxa"/>
            <w:shd w:val="clear" w:color="auto" w:fill="auto"/>
            <w:noWrap/>
            <w:vAlign w:val="center"/>
            <w:hideMark/>
          </w:tcPr>
          <w:p w14:paraId="7AF4C9C7" w14:textId="77777777" w:rsidR="00FD6D1C" w:rsidRPr="002822D7" w:rsidRDefault="00FD6D1C" w:rsidP="00341D15">
            <w:pPr>
              <w:jc w:val="center"/>
              <w:rPr>
                <w:color w:val="000000"/>
                <w:sz w:val="22"/>
                <w:szCs w:val="22"/>
                <w:lang w:eastAsia="en-GB"/>
              </w:rPr>
            </w:pPr>
            <w:r w:rsidRPr="002822D7">
              <w:rPr>
                <w:rFonts w:eastAsia="Calibri"/>
                <w:color w:val="000000"/>
                <w:sz w:val="22"/>
                <w:szCs w:val="22"/>
                <w:lang w:eastAsia="en-GB"/>
              </w:rPr>
              <w:t>2,623</w:t>
            </w:r>
          </w:p>
        </w:tc>
        <w:tc>
          <w:tcPr>
            <w:tcW w:w="1060" w:type="dxa"/>
            <w:shd w:val="clear" w:color="auto" w:fill="auto"/>
            <w:noWrap/>
            <w:vAlign w:val="center"/>
            <w:hideMark/>
          </w:tcPr>
          <w:p w14:paraId="1BEDCE95" w14:textId="77777777" w:rsidR="00FD6D1C" w:rsidRPr="002822D7" w:rsidRDefault="00FD6D1C" w:rsidP="00341D15">
            <w:pPr>
              <w:jc w:val="center"/>
              <w:rPr>
                <w:color w:val="000000"/>
                <w:sz w:val="22"/>
                <w:szCs w:val="22"/>
                <w:lang w:eastAsia="en-GB"/>
              </w:rPr>
            </w:pPr>
            <w:r w:rsidRPr="002822D7">
              <w:rPr>
                <w:rFonts w:eastAsia="Calibri"/>
                <w:color w:val="000000"/>
                <w:sz w:val="22"/>
                <w:szCs w:val="22"/>
                <w:lang w:eastAsia="en-GB"/>
              </w:rPr>
              <w:t>85.5%</w:t>
            </w:r>
          </w:p>
        </w:tc>
      </w:tr>
      <w:tr w:rsidR="00FD6D1C" w:rsidRPr="002822D7" w14:paraId="1EE07B9A" w14:textId="77777777" w:rsidTr="00341D15">
        <w:trPr>
          <w:trHeight w:val="300"/>
        </w:trPr>
        <w:tc>
          <w:tcPr>
            <w:tcW w:w="1321" w:type="dxa"/>
            <w:shd w:val="clear" w:color="auto" w:fill="auto"/>
            <w:noWrap/>
            <w:vAlign w:val="center"/>
            <w:hideMark/>
          </w:tcPr>
          <w:p w14:paraId="5BB14999" w14:textId="77777777" w:rsidR="00FD6D1C" w:rsidRPr="002822D7" w:rsidRDefault="00FD6D1C" w:rsidP="00341D15">
            <w:pPr>
              <w:jc w:val="center"/>
              <w:rPr>
                <w:color w:val="000000"/>
                <w:sz w:val="22"/>
                <w:szCs w:val="22"/>
                <w:lang w:eastAsia="en-GB"/>
              </w:rPr>
            </w:pPr>
            <w:r w:rsidRPr="002822D7">
              <w:rPr>
                <w:color w:val="000000"/>
                <w:sz w:val="22"/>
                <w:szCs w:val="22"/>
                <w:lang w:eastAsia="en-GB"/>
              </w:rPr>
              <w:t>Sep-21</w:t>
            </w:r>
          </w:p>
        </w:tc>
        <w:tc>
          <w:tcPr>
            <w:tcW w:w="1329" w:type="dxa"/>
            <w:shd w:val="clear" w:color="auto" w:fill="auto"/>
            <w:noWrap/>
            <w:vAlign w:val="center"/>
            <w:hideMark/>
          </w:tcPr>
          <w:p w14:paraId="3B6160F4" w14:textId="77777777" w:rsidR="00FD6D1C" w:rsidRPr="002822D7" w:rsidRDefault="00FD6D1C" w:rsidP="00341D15">
            <w:pPr>
              <w:jc w:val="center"/>
              <w:rPr>
                <w:color w:val="000000"/>
                <w:sz w:val="22"/>
                <w:szCs w:val="22"/>
                <w:lang w:eastAsia="en-GB"/>
              </w:rPr>
            </w:pPr>
            <w:r w:rsidRPr="002822D7">
              <w:rPr>
                <w:color w:val="000000"/>
                <w:sz w:val="22"/>
                <w:szCs w:val="22"/>
                <w:lang w:eastAsia="en-GB"/>
              </w:rPr>
              <w:t>2,931</w:t>
            </w:r>
          </w:p>
        </w:tc>
        <w:tc>
          <w:tcPr>
            <w:tcW w:w="1243" w:type="dxa"/>
            <w:shd w:val="clear" w:color="auto" w:fill="auto"/>
            <w:noWrap/>
            <w:vAlign w:val="center"/>
            <w:hideMark/>
          </w:tcPr>
          <w:p w14:paraId="21D13979" w14:textId="56750284" w:rsidR="00FD6D1C" w:rsidRPr="002822D7" w:rsidRDefault="0069056A" w:rsidP="00341D15">
            <w:pPr>
              <w:jc w:val="center"/>
              <w:rPr>
                <w:color w:val="000000"/>
                <w:sz w:val="22"/>
                <w:szCs w:val="22"/>
                <w:lang w:eastAsia="en-GB"/>
              </w:rPr>
            </w:pPr>
            <w:r w:rsidRPr="002822D7">
              <w:rPr>
                <w:color w:val="000000"/>
                <w:sz w:val="22"/>
                <w:szCs w:val="22"/>
                <w:lang w:eastAsia="en-GB"/>
              </w:rPr>
              <w:t>122</w:t>
            </w:r>
          </w:p>
        </w:tc>
        <w:tc>
          <w:tcPr>
            <w:tcW w:w="1036" w:type="dxa"/>
            <w:shd w:val="clear" w:color="auto" w:fill="auto"/>
            <w:noWrap/>
            <w:vAlign w:val="center"/>
            <w:hideMark/>
          </w:tcPr>
          <w:p w14:paraId="72969FB6" w14:textId="6E776369" w:rsidR="00FD6D1C" w:rsidRPr="002822D7" w:rsidRDefault="00FD6D1C" w:rsidP="00341D15">
            <w:pPr>
              <w:jc w:val="center"/>
              <w:rPr>
                <w:color w:val="000000"/>
                <w:sz w:val="22"/>
                <w:szCs w:val="22"/>
                <w:lang w:eastAsia="en-GB"/>
              </w:rPr>
            </w:pPr>
            <w:r w:rsidRPr="002822D7">
              <w:rPr>
                <w:color w:val="000000"/>
                <w:sz w:val="22"/>
                <w:szCs w:val="22"/>
                <w:lang w:eastAsia="en-GB"/>
              </w:rPr>
              <w:t>3,0</w:t>
            </w:r>
            <w:r w:rsidR="0069056A" w:rsidRPr="002822D7">
              <w:rPr>
                <w:color w:val="000000"/>
                <w:sz w:val="22"/>
                <w:szCs w:val="22"/>
                <w:lang w:eastAsia="en-GB"/>
              </w:rPr>
              <w:t>53</w:t>
            </w:r>
          </w:p>
        </w:tc>
        <w:tc>
          <w:tcPr>
            <w:tcW w:w="1109" w:type="dxa"/>
            <w:shd w:val="clear" w:color="auto" w:fill="auto"/>
            <w:noWrap/>
            <w:vAlign w:val="center"/>
            <w:hideMark/>
          </w:tcPr>
          <w:p w14:paraId="1779F145" w14:textId="2A88CD54" w:rsidR="00FD6D1C" w:rsidRPr="002822D7" w:rsidRDefault="00FD6D1C" w:rsidP="00341D15">
            <w:pPr>
              <w:jc w:val="center"/>
              <w:rPr>
                <w:color w:val="000000"/>
                <w:sz w:val="22"/>
                <w:szCs w:val="22"/>
                <w:lang w:eastAsia="en-GB"/>
              </w:rPr>
            </w:pPr>
            <w:r w:rsidRPr="002822D7">
              <w:rPr>
                <w:color w:val="000000"/>
                <w:sz w:val="22"/>
                <w:szCs w:val="22"/>
                <w:lang w:eastAsia="en-GB"/>
              </w:rPr>
              <w:t>-</w:t>
            </w:r>
            <w:r w:rsidR="0069056A" w:rsidRPr="002822D7">
              <w:rPr>
                <w:color w:val="000000"/>
                <w:sz w:val="22"/>
                <w:szCs w:val="22"/>
                <w:lang w:eastAsia="en-GB"/>
              </w:rPr>
              <w:t>16</w:t>
            </w:r>
          </w:p>
        </w:tc>
        <w:tc>
          <w:tcPr>
            <w:tcW w:w="1279" w:type="dxa"/>
            <w:shd w:val="clear" w:color="auto" w:fill="auto"/>
            <w:noWrap/>
            <w:vAlign w:val="center"/>
            <w:hideMark/>
          </w:tcPr>
          <w:p w14:paraId="3C29AA20" w14:textId="414ABFF7" w:rsidR="00FD6D1C" w:rsidRPr="002822D7" w:rsidRDefault="00FD6D1C" w:rsidP="00341D15">
            <w:pPr>
              <w:jc w:val="center"/>
              <w:rPr>
                <w:color w:val="000000"/>
                <w:sz w:val="22"/>
                <w:szCs w:val="22"/>
                <w:lang w:eastAsia="en-GB"/>
              </w:rPr>
            </w:pPr>
            <w:r w:rsidRPr="002822D7">
              <w:rPr>
                <w:rFonts w:eastAsia="Calibri"/>
                <w:color w:val="000000"/>
                <w:sz w:val="22"/>
                <w:szCs w:val="22"/>
                <w:lang w:eastAsia="en-GB"/>
              </w:rPr>
              <w:t>-</w:t>
            </w:r>
            <w:r w:rsidR="0069056A" w:rsidRPr="002822D7">
              <w:rPr>
                <w:rFonts w:eastAsia="Calibri"/>
                <w:color w:val="000000"/>
                <w:sz w:val="22"/>
                <w:szCs w:val="22"/>
                <w:lang w:eastAsia="en-GB"/>
              </w:rPr>
              <w:t>0.52</w:t>
            </w:r>
            <w:r w:rsidRPr="002822D7">
              <w:rPr>
                <w:rFonts w:eastAsia="Calibri"/>
                <w:color w:val="000000"/>
                <w:sz w:val="22"/>
                <w:szCs w:val="22"/>
                <w:lang w:eastAsia="en-GB"/>
              </w:rPr>
              <w:t>%</w:t>
            </w:r>
          </w:p>
        </w:tc>
        <w:tc>
          <w:tcPr>
            <w:tcW w:w="1060" w:type="dxa"/>
            <w:shd w:val="clear" w:color="auto" w:fill="auto"/>
            <w:noWrap/>
            <w:vAlign w:val="center"/>
            <w:hideMark/>
          </w:tcPr>
          <w:p w14:paraId="25706119" w14:textId="73A3F965" w:rsidR="00FD6D1C" w:rsidRPr="002822D7" w:rsidRDefault="00FD6D1C" w:rsidP="00341D15">
            <w:pPr>
              <w:jc w:val="center"/>
              <w:rPr>
                <w:color w:val="000000"/>
                <w:sz w:val="22"/>
                <w:szCs w:val="22"/>
                <w:lang w:eastAsia="en-GB"/>
              </w:rPr>
            </w:pPr>
            <w:r w:rsidRPr="002822D7">
              <w:rPr>
                <w:rFonts w:eastAsia="Calibri"/>
                <w:color w:val="000000"/>
                <w:sz w:val="22"/>
                <w:szCs w:val="22"/>
                <w:lang w:eastAsia="en-GB"/>
              </w:rPr>
              <w:t>2,6</w:t>
            </w:r>
            <w:r w:rsidR="0069056A" w:rsidRPr="002822D7">
              <w:rPr>
                <w:rFonts w:eastAsia="Calibri"/>
                <w:color w:val="000000"/>
                <w:sz w:val="22"/>
                <w:szCs w:val="22"/>
                <w:lang w:eastAsia="en-GB"/>
              </w:rPr>
              <w:t>33</w:t>
            </w:r>
          </w:p>
        </w:tc>
        <w:tc>
          <w:tcPr>
            <w:tcW w:w="1060" w:type="dxa"/>
            <w:shd w:val="clear" w:color="auto" w:fill="auto"/>
            <w:noWrap/>
            <w:vAlign w:val="center"/>
            <w:hideMark/>
          </w:tcPr>
          <w:p w14:paraId="6349BCE5" w14:textId="43297C63" w:rsidR="00FD6D1C" w:rsidRPr="002822D7" w:rsidRDefault="00FD6D1C" w:rsidP="00341D15">
            <w:pPr>
              <w:jc w:val="center"/>
              <w:rPr>
                <w:color w:val="000000"/>
                <w:sz w:val="22"/>
                <w:szCs w:val="22"/>
                <w:lang w:eastAsia="en-GB"/>
              </w:rPr>
            </w:pPr>
            <w:r w:rsidRPr="002822D7">
              <w:rPr>
                <w:rFonts w:eastAsia="Calibri"/>
                <w:color w:val="000000"/>
                <w:sz w:val="22"/>
                <w:szCs w:val="22"/>
                <w:lang w:eastAsia="en-GB"/>
              </w:rPr>
              <w:t>8</w:t>
            </w:r>
            <w:r w:rsidR="0069056A" w:rsidRPr="002822D7">
              <w:rPr>
                <w:rFonts w:eastAsia="Calibri"/>
                <w:color w:val="000000"/>
                <w:sz w:val="22"/>
                <w:szCs w:val="22"/>
                <w:lang w:eastAsia="en-GB"/>
              </w:rPr>
              <w:t>6</w:t>
            </w:r>
            <w:r w:rsidRPr="002822D7">
              <w:rPr>
                <w:rFonts w:eastAsia="Calibri"/>
                <w:color w:val="000000"/>
                <w:sz w:val="22"/>
                <w:szCs w:val="22"/>
                <w:lang w:eastAsia="en-GB"/>
              </w:rPr>
              <w:t>.2%</w:t>
            </w:r>
          </w:p>
        </w:tc>
      </w:tr>
      <w:tr w:rsidR="0069056A" w:rsidRPr="002822D7" w14:paraId="7657CD9A" w14:textId="77777777" w:rsidTr="00341D15">
        <w:trPr>
          <w:trHeight w:val="300"/>
        </w:trPr>
        <w:tc>
          <w:tcPr>
            <w:tcW w:w="1321" w:type="dxa"/>
            <w:shd w:val="clear" w:color="auto" w:fill="auto"/>
            <w:noWrap/>
            <w:vAlign w:val="center"/>
          </w:tcPr>
          <w:p w14:paraId="77FA8029" w14:textId="798DD2D1" w:rsidR="0069056A" w:rsidRPr="002822D7" w:rsidRDefault="0069056A" w:rsidP="00341D15">
            <w:pPr>
              <w:jc w:val="center"/>
              <w:rPr>
                <w:color w:val="000000"/>
                <w:sz w:val="22"/>
                <w:szCs w:val="22"/>
                <w:lang w:eastAsia="en-GB"/>
              </w:rPr>
            </w:pPr>
            <w:r w:rsidRPr="002822D7">
              <w:rPr>
                <w:color w:val="000000"/>
                <w:sz w:val="22"/>
                <w:szCs w:val="22"/>
                <w:lang w:eastAsia="en-GB"/>
              </w:rPr>
              <w:t>Sep-22</w:t>
            </w:r>
          </w:p>
        </w:tc>
        <w:tc>
          <w:tcPr>
            <w:tcW w:w="1329" w:type="dxa"/>
            <w:shd w:val="clear" w:color="auto" w:fill="auto"/>
            <w:noWrap/>
            <w:vAlign w:val="center"/>
          </w:tcPr>
          <w:p w14:paraId="60139463" w14:textId="3192276F" w:rsidR="0069056A" w:rsidRPr="002822D7" w:rsidRDefault="0069056A" w:rsidP="00341D15">
            <w:pPr>
              <w:jc w:val="center"/>
              <w:rPr>
                <w:color w:val="000000"/>
                <w:sz w:val="22"/>
                <w:szCs w:val="22"/>
                <w:lang w:eastAsia="en-GB"/>
              </w:rPr>
            </w:pPr>
            <w:r w:rsidRPr="002822D7">
              <w:rPr>
                <w:color w:val="000000"/>
                <w:sz w:val="22"/>
                <w:szCs w:val="22"/>
                <w:lang w:eastAsia="en-GB"/>
              </w:rPr>
              <w:t>2,876</w:t>
            </w:r>
          </w:p>
        </w:tc>
        <w:tc>
          <w:tcPr>
            <w:tcW w:w="1243" w:type="dxa"/>
            <w:shd w:val="clear" w:color="auto" w:fill="auto"/>
            <w:noWrap/>
            <w:vAlign w:val="center"/>
          </w:tcPr>
          <w:p w14:paraId="6A307E97" w14:textId="3F7DC0F7" w:rsidR="0069056A" w:rsidRPr="002822D7" w:rsidRDefault="0069056A" w:rsidP="00341D15">
            <w:pPr>
              <w:jc w:val="center"/>
              <w:rPr>
                <w:color w:val="000000"/>
                <w:sz w:val="22"/>
                <w:szCs w:val="22"/>
                <w:lang w:eastAsia="en-GB"/>
              </w:rPr>
            </w:pPr>
            <w:r w:rsidRPr="002822D7">
              <w:rPr>
                <w:color w:val="000000"/>
                <w:sz w:val="22"/>
                <w:szCs w:val="22"/>
                <w:lang w:eastAsia="en-GB"/>
              </w:rPr>
              <w:t>135</w:t>
            </w:r>
          </w:p>
        </w:tc>
        <w:tc>
          <w:tcPr>
            <w:tcW w:w="1036" w:type="dxa"/>
            <w:shd w:val="clear" w:color="auto" w:fill="auto"/>
            <w:noWrap/>
            <w:vAlign w:val="center"/>
          </w:tcPr>
          <w:p w14:paraId="617564E2" w14:textId="12AF2610" w:rsidR="0069056A" w:rsidRPr="002822D7" w:rsidRDefault="0069056A" w:rsidP="00341D15">
            <w:pPr>
              <w:jc w:val="center"/>
              <w:rPr>
                <w:color w:val="000000"/>
                <w:sz w:val="22"/>
                <w:szCs w:val="22"/>
                <w:lang w:eastAsia="en-GB"/>
              </w:rPr>
            </w:pPr>
            <w:r w:rsidRPr="002822D7">
              <w:rPr>
                <w:color w:val="000000"/>
                <w:sz w:val="22"/>
                <w:szCs w:val="22"/>
                <w:lang w:eastAsia="en-GB"/>
              </w:rPr>
              <w:t>3,011</w:t>
            </w:r>
          </w:p>
        </w:tc>
        <w:tc>
          <w:tcPr>
            <w:tcW w:w="1109" w:type="dxa"/>
            <w:shd w:val="clear" w:color="auto" w:fill="auto"/>
            <w:noWrap/>
            <w:vAlign w:val="center"/>
          </w:tcPr>
          <w:p w14:paraId="6FAC1FDE" w14:textId="487F065F" w:rsidR="0069056A" w:rsidRPr="002822D7" w:rsidRDefault="003C4DB9" w:rsidP="00341D15">
            <w:pPr>
              <w:jc w:val="center"/>
              <w:rPr>
                <w:color w:val="000000"/>
                <w:sz w:val="22"/>
                <w:szCs w:val="22"/>
                <w:lang w:eastAsia="en-GB"/>
              </w:rPr>
            </w:pPr>
            <w:r w:rsidRPr="002822D7">
              <w:rPr>
                <w:color w:val="000000"/>
                <w:sz w:val="22"/>
                <w:szCs w:val="22"/>
                <w:lang w:eastAsia="en-GB"/>
              </w:rPr>
              <w:t>-42</w:t>
            </w:r>
          </w:p>
        </w:tc>
        <w:tc>
          <w:tcPr>
            <w:tcW w:w="1279" w:type="dxa"/>
            <w:shd w:val="clear" w:color="auto" w:fill="auto"/>
            <w:noWrap/>
            <w:vAlign w:val="center"/>
          </w:tcPr>
          <w:p w14:paraId="394F8BD3" w14:textId="4890EDFE" w:rsidR="0069056A" w:rsidRPr="002822D7" w:rsidRDefault="003C4DB9" w:rsidP="00341D15">
            <w:pPr>
              <w:jc w:val="center"/>
              <w:rPr>
                <w:rFonts w:eastAsia="Calibri"/>
                <w:color w:val="000000"/>
                <w:sz w:val="22"/>
                <w:szCs w:val="22"/>
                <w:lang w:eastAsia="en-GB"/>
              </w:rPr>
            </w:pPr>
            <w:r w:rsidRPr="002822D7">
              <w:rPr>
                <w:rFonts w:eastAsia="Calibri"/>
                <w:color w:val="000000"/>
                <w:sz w:val="22"/>
                <w:szCs w:val="22"/>
                <w:lang w:eastAsia="en-GB"/>
              </w:rPr>
              <w:t>-1.38%</w:t>
            </w:r>
          </w:p>
        </w:tc>
        <w:tc>
          <w:tcPr>
            <w:tcW w:w="1060" w:type="dxa"/>
            <w:shd w:val="clear" w:color="auto" w:fill="auto"/>
            <w:noWrap/>
            <w:vAlign w:val="center"/>
          </w:tcPr>
          <w:p w14:paraId="3BB3E103" w14:textId="26B4A880" w:rsidR="0069056A" w:rsidRPr="00B97D07" w:rsidRDefault="003C4DB9" w:rsidP="00341D15">
            <w:pPr>
              <w:jc w:val="center"/>
              <w:rPr>
                <w:rFonts w:eastAsia="Calibri"/>
                <w:color w:val="000000"/>
                <w:sz w:val="22"/>
                <w:szCs w:val="22"/>
                <w:lang w:eastAsia="en-GB"/>
              </w:rPr>
            </w:pPr>
            <w:r w:rsidRPr="00B97D07">
              <w:rPr>
                <w:rFonts w:eastAsia="Calibri"/>
                <w:color w:val="000000"/>
                <w:sz w:val="22"/>
                <w:szCs w:val="22"/>
                <w:lang w:eastAsia="en-GB"/>
              </w:rPr>
              <w:t>2,6</w:t>
            </w:r>
            <w:r w:rsidR="00B97D07" w:rsidRPr="00B97D07">
              <w:rPr>
                <w:rFonts w:eastAsia="Calibri"/>
                <w:color w:val="000000"/>
                <w:sz w:val="22"/>
                <w:szCs w:val="22"/>
                <w:lang w:eastAsia="en-GB"/>
              </w:rPr>
              <w:t>67</w:t>
            </w:r>
          </w:p>
        </w:tc>
        <w:tc>
          <w:tcPr>
            <w:tcW w:w="1060" w:type="dxa"/>
            <w:shd w:val="clear" w:color="auto" w:fill="auto"/>
            <w:noWrap/>
            <w:vAlign w:val="center"/>
          </w:tcPr>
          <w:p w14:paraId="7ECC153D" w14:textId="7CBB12D0" w:rsidR="0069056A" w:rsidRPr="00B97D07" w:rsidRDefault="003C4DB9" w:rsidP="00341D15">
            <w:pPr>
              <w:jc w:val="center"/>
              <w:rPr>
                <w:rFonts w:eastAsia="Calibri"/>
                <w:color w:val="000000"/>
                <w:sz w:val="22"/>
                <w:szCs w:val="22"/>
                <w:lang w:eastAsia="en-GB"/>
              </w:rPr>
            </w:pPr>
            <w:r w:rsidRPr="00B97D07">
              <w:rPr>
                <w:rFonts w:eastAsia="Calibri"/>
                <w:color w:val="000000"/>
                <w:sz w:val="22"/>
                <w:szCs w:val="22"/>
                <w:lang w:eastAsia="en-GB"/>
              </w:rPr>
              <w:t>89.0%</w:t>
            </w:r>
          </w:p>
        </w:tc>
      </w:tr>
      <w:tr w:rsidR="009D3120" w:rsidRPr="002822D7" w14:paraId="64309B3F" w14:textId="77777777" w:rsidTr="00341D15">
        <w:trPr>
          <w:trHeight w:val="300"/>
        </w:trPr>
        <w:tc>
          <w:tcPr>
            <w:tcW w:w="1321" w:type="dxa"/>
            <w:shd w:val="clear" w:color="auto" w:fill="auto"/>
            <w:noWrap/>
            <w:vAlign w:val="center"/>
          </w:tcPr>
          <w:p w14:paraId="7B779625" w14:textId="1B7C169A" w:rsidR="009D3120" w:rsidRPr="002822D7" w:rsidRDefault="009D3120" w:rsidP="00341D15">
            <w:pPr>
              <w:jc w:val="center"/>
              <w:rPr>
                <w:color w:val="000000"/>
                <w:sz w:val="22"/>
                <w:szCs w:val="22"/>
                <w:lang w:eastAsia="en-GB"/>
              </w:rPr>
            </w:pPr>
            <w:r>
              <w:rPr>
                <w:color w:val="000000"/>
                <w:sz w:val="22"/>
                <w:szCs w:val="22"/>
                <w:lang w:eastAsia="en-GB"/>
              </w:rPr>
              <w:t>Sep-23</w:t>
            </w:r>
          </w:p>
        </w:tc>
        <w:tc>
          <w:tcPr>
            <w:tcW w:w="1329" w:type="dxa"/>
            <w:shd w:val="clear" w:color="auto" w:fill="auto"/>
            <w:noWrap/>
            <w:vAlign w:val="center"/>
          </w:tcPr>
          <w:p w14:paraId="35C808AC" w14:textId="4168C37C" w:rsidR="009D3120" w:rsidRPr="002822D7" w:rsidRDefault="004C7906" w:rsidP="00341D15">
            <w:pPr>
              <w:jc w:val="center"/>
              <w:rPr>
                <w:color w:val="000000"/>
                <w:sz w:val="22"/>
                <w:szCs w:val="22"/>
                <w:lang w:eastAsia="en-GB"/>
              </w:rPr>
            </w:pPr>
            <w:r>
              <w:rPr>
                <w:color w:val="000000"/>
                <w:sz w:val="22"/>
                <w:szCs w:val="22"/>
                <w:lang w:eastAsia="en-GB"/>
              </w:rPr>
              <w:t>2,923</w:t>
            </w:r>
          </w:p>
        </w:tc>
        <w:tc>
          <w:tcPr>
            <w:tcW w:w="1243" w:type="dxa"/>
            <w:shd w:val="clear" w:color="auto" w:fill="auto"/>
            <w:noWrap/>
            <w:vAlign w:val="center"/>
          </w:tcPr>
          <w:p w14:paraId="56017271" w14:textId="76DF8321" w:rsidR="009D3120" w:rsidRPr="002822D7" w:rsidRDefault="004C7906" w:rsidP="00341D15">
            <w:pPr>
              <w:jc w:val="center"/>
              <w:rPr>
                <w:color w:val="000000"/>
                <w:sz w:val="22"/>
                <w:szCs w:val="22"/>
                <w:lang w:eastAsia="en-GB"/>
              </w:rPr>
            </w:pPr>
            <w:r>
              <w:rPr>
                <w:color w:val="000000"/>
                <w:sz w:val="22"/>
                <w:szCs w:val="22"/>
                <w:lang w:eastAsia="en-GB"/>
              </w:rPr>
              <w:t>130</w:t>
            </w:r>
          </w:p>
        </w:tc>
        <w:tc>
          <w:tcPr>
            <w:tcW w:w="1036" w:type="dxa"/>
            <w:shd w:val="clear" w:color="auto" w:fill="auto"/>
            <w:noWrap/>
            <w:vAlign w:val="center"/>
          </w:tcPr>
          <w:p w14:paraId="10904F97" w14:textId="0FCC3F44" w:rsidR="009D3120" w:rsidRPr="002822D7" w:rsidRDefault="004C7906" w:rsidP="00341D15">
            <w:pPr>
              <w:jc w:val="center"/>
              <w:rPr>
                <w:color w:val="000000"/>
                <w:sz w:val="22"/>
                <w:szCs w:val="22"/>
                <w:lang w:eastAsia="en-GB"/>
              </w:rPr>
            </w:pPr>
            <w:r w:rsidRPr="004C7906">
              <w:rPr>
                <w:color w:val="000000"/>
                <w:sz w:val="22"/>
                <w:szCs w:val="22"/>
                <w:lang w:eastAsia="en-GB"/>
              </w:rPr>
              <w:t>3,503</w:t>
            </w:r>
            <w:r w:rsidR="00B97D07" w:rsidRPr="004C7906">
              <w:rPr>
                <w:color w:val="000000"/>
                <w:sz w:val="20"/>
                <w:szCs w:val="20"/>
                <w:lang w:eastAsia="en-GB"/>
              </w:rPr>
              <w:t>(3)</w:t>
            </w:r>
          </w:p>
        </w:tc>
        <w:tc>
          <w:tcPr>
            <w:tcW w:w="1109" w:type="dxa"/>
            <w:shd w:val="clear" w:color="auto" w:fill="auto"/>
            <w:noWrap/>
            <w:vAlign w:val="center"/>
          </w:tcPr>
          <w:p w14:paraId="0B4A14F9" w14:textId="2CB5C428" w:rsidR="009D3120" w:rsidRPr="002822D7" w:rsidRDefault="008F0E8E" w:rsidP="00341D15">
            <w:pPr>
              <w:jc w:val="center"/>
              <w:rPr>
                <w:color w:val="000000"/>
                <w:sz w:val="22"/>
                <w:szCs w:val="22"/>
                <w:lang w:eastAsia="en-GB"/>
              </w:rPr>
            </w:pPr>
            <w:r>
              <w:rPr>
                <w:color w:val="000000"/>
                <w:sz w:val="22"/>
                <w:szCs w:val="22"/>
                <w:lang w:eastAsia="en-GB"/>
              </w:rPr>
              <w:t>42</w:t>
            </w:r>
          </w:p>
        </w:tc>
        <w:tc>
          <w:tcPr>
            <w:tcW w:w="1279" w:type="dxa"/>
            <w:shd w:val="clear" w:color="auto" w:fill="auto"/>
            <w:noWrap/>
            <w:vAlign w:val="center"/>
          </w:tcPr>
          <w:p w14:paraId="34134204" w14:textId="390474C2" w:rsidR="009D3120" w:rsidRPr="002822D7" w:rsidRDefault="008F0E8E" w:rsidP="00341D15">
            <w:pPr>
              <w:jc w:val="center"/>
              <w:rPr>
                <w:rFonts w:eastAsia="Calibri"/>
                <w:color w:val="000000"/>
                <w:sz w:val="22"/>
                <w:szCs w:val="22"/>
                <w:lang w:eastAsia="en-GB"/>
              </w:rPr>
            </w:pPr>
            <w:r>
              <w:rPr>
                <w:rFonts w:eastAsia="Calibri"/>
                <w:color w:val="000000"/>
                <w:sz w:val="22"/>
                <w:szCs w:val="22"/>
                <w:lang w:eastAsia="en-GB"/>
              </w:rPr>
              <w:t>1.39%</w:t>
            </w:r>
          </w:p>
        </w:tc>
        <w:tc>
          <w:tcPr>
            <w:tcW w:w="1060" w:type="dxa"/>
            <w:shd w:val="clear" w:color="auto" w:fill="auto"/>
            <w:noWrap/>
            <w:vAlign w:val="center"/>
          </w:tcPr>
          <w:p w14:paraId="61D857B6" w14:textId="13F5CD27" w:rsidR="009D3120" w:rsidRPr="002822D7" w:rsidRDefault="008F0E8E" w:rsidP="00341D15">
            <w:pPr>
              <w:jc w:val="center"/>
              <w:rPr>
                <w:rFonts w:eastAsia="Calibri"/>
                <w:i/>
                <w:iCs/>
                <w:color w:val="000000"/>
                <w:sz w:val="22"/>
                <w:szCs w:val="22"/>
                <w:lang w:eastAsia="en-GB"/>
              </w:rPr>
            </w:pPr>
            <w:r>
              <w:rPr>
                <w:rFonts w:eastAsia="Calibri"/>
                <w:i/>
                <w:iCs/>
                <w:color w:val="000000"/>
                <w:sz w:val="22"/>
                <w:szCs w:val="22"/>
                <w:lang w:eastAsia="en-GB"/>
              </w:rPr>
              <w:t>2,716</w:t>
            </w:r>
          </w:p>
        </w:tc>
        <w:tc>
          <w:tcPr>
            <w:tcW w:w="1060" w:type="dxa"/>
            <w:shd w:val="clear" w:color="auto" w:fill="auto"/>
            <w:noWrap/>
            <w:vAlign w:val="center"/>
          </w:tcPr>
          <w:p w14:paraId="43A9CD2A" w14:textId="0D1E1FAC" w:rsidR="009D3120" w:rsidRPr="002822D7" w:rsidRDefault="008F0E8E" w:rsidP="00341D15">
            <w:pPr>
              <w:jc w:val="center"/>
              <w:rPr>
                <w:rFonts w:eastAsia="Calibri"/>
                <w:i/>
                <w:iCs/>
                <w:color w:val="000000"/>
                <w:sz w:val="22"/>
                <w:szCs w:val="22"/>
                <w:lang w:eastAsia="en-GB"/>
              </w:rPr>
            </w:pPr>
            <w:r>
              <w:rPr>
                <w:rFonts w:eastAsia="Calibri"/>
                <w:i/>
                <w:iCs/>
                <w:color w:val="000000"/>
                <w:sz w:val="22"/>
                <w:szCs w:val="22"/>
                <w:lang w:eastAsia="en-GB"/>
              </w:rPr>
              <w:t>88.6%</w:t>
            </w:r>
          </w:p>
        </w:tc>
      </w:tr>
    </w:tbl>
    <w:p w14:paraId="5E8FEDA2" w14:textId="682D05D4" w:rsidR="00340B1D" w:rsidRPr="002822D7" w:rsidRDefault="00340B1D" w:rsidP="00340B1D">
      <w:pPr>
        <w:rPr>
          <w:rFonts w:eastAsia="Calibri"/>
          <w:sz w:val="20"/>
          <w:szCs w:val="20"/>
        </w:rPr>
      </w:pPr>
      <w:r w:rsidRPr="002822D7">
        <w:rPr>
          <w:sz w:val="20"/>
          <w:szCs w:val="20"/>
        </w:rPr>
        <w:t>(1) On-time applications are the data from the DfE returns submitted on offer day.</w:t>
      </w:r>
    </w:p>
    <w:p w14:paraId="529C5A95" w14:textId="77777777" w:rsidR="00340B1D" w:rsidRPr="002822D7" w:rsidRDefault="00340B1D" w:rsidP="00340B1D">
      <w:pPr>
        <w:rPr>
          <w:sz w:val="20"/>
          <w:szCs w:val="20"/>
          <w:lang w:eastAsia="en-GB"/>
        </w:rPr>
      </w:pPr>
      <w:r w:rsidRPr="002822D7">
        <w:rPr>
          <w:sz w:val="20"/>
          <w:szCs w:val="20"/>
        </w:rPr>
        <w:t>(2) Lates are the number of on-time applications subtracted from the total home (Harrow) applications on EMS.  (Note: if the home address of the pupil has changed to an address outside Harrow since the application, this may deflate the total number of late applications)</w:t>
      </w:r>
    </w:p>
    <w:p w14:paraId="1080DD82" w14:textId="694A2BEA" w:rsidR="00A16979" w:rsidRPr="002822D7" w:rsidRDefault="00340B1D" w:rsidP="00340B1D">
      <w:pPr>
        <w:rPr>
          <w:sz w:val="20"/>
          <w:szCs w:val="20"/>
        </w:rPr>
      </w:pPr>
      <w:r w:rsidRPr="002822D7">
        <w:rPr>
          <w:sz w:val="20"/>
          <w:szCs w:val="20"/>
        </w:rPr>
        <w:t xml:space="preserve">(3) As </w:t>
      </w:r>
      <w:proofErr w:type="gramStart"/>
      <w:r w:rsidRPr="002822D7">
        <w:rPr>
          <w:sz w:val="20"/>
          <w:szCs w:val="20"/>
        </w:rPr>
        <w:t>at</w:t>
      </w:r>
      <w:proofErr w:type="gramEnd"/>
      <w:r w:rsidRPr="002822D7">
        <w:rPr>
          <w:sz w:val="20"/>
          <w:szCs w:val="20"/>
        </w:rPr>
        <w:t xml:space="preserve"> </w:t>
      </w:r>
      <w:r w:rsidR="003A3D1D" w:rsidRPr="002822D7">
        <w:rPr>
          <w:sz w:val="20"/>
          <w:szCs w:val="20"/>
        </w:rPr>
        <w:t>1</w:t>
      </w:r>
      <w:r w:rsidR="00EF7CC2">
        <w:rPr>
          <w:sz w:val="20"/>
          <w:szCs w:val="20"/>
        </w:rPr>
        <w:t>0</w:t>
      </w:r>
      <w:r w:rsidR="003A3D1D" w:rsidRPr="002822D7">
        <w:rPr>
          <w:sz w:val="20"/>
          <w:szCs w:val="20"/>
        </w:rPr>
        <w:t>th</w:t>
      </w:r>
      <w:r w:rsidRPr="002822D7">
        <w:rPr>
          <w:sz w:val="20"/>
          <w:szCs w:val="20"/>
        </w:rPr>
        <w:t xml:space="preserve"> </w:t>
      </w:r>
      <w:r w:rsidR="00EF7CC2">
        <w:rPr>
          <w:sz w:val="20"/>
          <w:szCs w:val="20"/>
        </w:rPr>
        <w:t xml:space="preserve">August </w:t>
      </w:r>
      <w:r w:rsidRPr="002822D7">
        <w:rPr>
          <w:sz w:val="20"/>
          <w:szCs w:val="20"/>
        </w:rPr>
        <w:t>20</w:t>
      </w:r>
      <w:r w:rsidR="007F1652" w:rsidRPr="002822D7">
        <w:rPr>
          <w:sz w:val="20"/>
          <w:szCs w:val="20"/>
        </w:rPr>
        <w:t>2</w:t>
      </w:r>
      <w:r w:rsidR="00EF7CC2">
        <w:rPr>
          <w:sz w:val="20"/>
          <w:szCs w:val="20"/>
        </w:rPr>
        <w:t>3</w:t>
      </w:r>
    </w:p>
    <w:p w14:paraId="3ABE7DEC" w14:textId="77777777" w:rsidR="00A16979" w:rsidRPr="002822D7" w:rsidRDefault="00A16979" w:rsidP="00A16979">
      <w:pPr>
        <w:rPr>
          <w:sz w:val="20"/>
          <w:szCs w:val="20"/>
        </w:rPr>
      </w:pPr>
    </w:p>
    <w:p w14:paraId="38F19B54" w14:textId="46EB2A16" w:rsidR="00A16979" w:rsidRDefault="00A16979" w:rsidP="006F53D8">
      <w:pPr>
        <w:rPr>
          <w:b/>
        </w:rPr>
      </w:pPr>
      <w:r w:rsidRPr="002822D7">
        <w:rPr>
          <w:b/>
        </w:rPr>
        <w:t>Harrow primary schools</w:t>
      </w:r>
      <w:r w:rsidR="00591A6D" w:rsidRPr="002822D7">
        <w:rPr>
          <w:b/>
        </w:rPr>
        <w:t>’</w:t>
      </w:r>
      <w:r w:rsidRPr="002822D7">
        <w:rPr>
          <w:b/>
        </w:rPr>
        <w:t xml:space="preserve"> pupils’ borough of residence</w:t>
      </w:r>
    </w:p>
    <w:p w14:paraId="46BA5C71" w14:textId="77777777" w:rsidR="0044735B" w:rsidRPr="002822D7" w:rsidRDefault="0044735B" w:rsidP="006F53D8">
      <w:pPr>
        <w:rPr>
          <w:b/>
        </w:rPr>
      </w:pPr>
    </w:p>
    <w:p w14:paraId="6E5818B8" w14:textId="77777777" w:rsidR="0044735B" w:rsidRPr="00B7014C" w:rsidRDefault="0044735B" w:rsidP="0044735B">
      <w:r w:rsidRPr="00B7014C">
        <w:t xml:space="preserve">The number of pupils in Reception to Year 6 in Harrow schools consistently increased </w:t>
      </w:r>
      <w:r>
        <w:t xml:space="preserve">from </w:t>
      </w:r>
      <w:r w:rsidRPr="00B7014C">
        <w:t>2005/06 (16,633) to 2019/20 (21,714).</w:t>
      </w:r>
      <w:r>
        <w:t xml:space="preserve">  T</w:t>
      </w:r>
      <w:r w:rsidRPr="00B7014C">
        <w:t>he number dropped for the first time in January 2021</w:t>
      </w:r>
      <w:r>
        <w:t xml:space="preserve"> (</w:t>
      </w:r>
      <w:r w:rsidRPr="00B7014C">
        <w:t>21,480</w:t>
      </w:r>
      <w:r>
        <w:t>) and again in January 2022 to 21,322</w:t>
      </w:r>
      <w:r w:rsidRPr="00B7014C">
        <w:t xml:space="preserve"> pupils</w:t>
      </w:r>
      <w:r>
        <w:t xml:space="preserve">, however it increased to 21,561 pupils in January 2023, </w:t>
      </w:r>
      <w:r w:rsidRPr="00B7014C">
        <w:t xml:space="preserve">in Harrow’s </w:t>
      </w:r>
      <w:r>
        <w:t>39</w:t>
      </w:r>
      <w:r w:rsidRPr="00B7014C">
        <w:t xml:space="preserve"> primary and 1 all through school. (Source: Harrow schools’ school census).</w:t>
      </w:r>
    </w:p>
    <w:p w14:paraId="44B92C2D" w14:textId="77777777" w:rsidR="0044735B" w:rsidRPr="00B7014C" w:rsidRDefault="0044735B" w:rsidP="0044735B"/>
    <w:p w14:paraId="0EE09264" w14:textId="77777777" w:rsidR="0044735B" w:rsidRPr="00B7014C" w:rsidRDefault="0044735B" w:rsidP="0044735B">
      <w:r w:rsidRPr="00B7014C">
        <w:t xml:space="preserve">The number of out of borough primary age pupils attending Harrow’s schools </w:t>
      </w:r>
      <w:r>
        <w:t xml:space="preserve">in previous years </w:t>
      </w:r>
      <w:r w:rsidRPr="00B7014C">
        <w:t>increased from 2,031 in January 2016</w:t>
      </w:r>
      <w:r>
        <w:t xml:space="preserve"> to </w:t>
      </w:r>
      <w:r w:rsidRPr="00B7014C">
        <w:t xml:space="preserve">2,301 in January 2019, however they dropped to </w:t>
      </w:r>
      <w:r>
        <w:t>2,258 in 2022</w:t>
      </w:r>
      <w:r w:rsidRPr="00B7014C">
        <w:t>.</w:t>
      </w:r>
      <w:r>
        <w:t xml:space="preserve">  The number in January 2023 is 2,265</w:t>
      </w:r>
      <w:r w:rsidRPr="00B7014C">
        <w:rPr>
          <w:color w:val="FF0000"/>
        </w:rPr>
        <w:t xml:space="preserve"> </w:t>
      </w:r>
    </w:p>
    <w:p w14:paraId="585CCA36" w14:textId="77777777" w:rsidR="0044735B" w:rsidRPr="00B7014C" w:rsidRDefault="0044735B" w:rsidP="0044735B"/>
    <w:p w14:paraId="7AC6692F" w14:textId="2A47A6E5" w:rsidR="0044735B" w:rsidRPr="0044735B" w:rsidRDefault="0044735B" w:rsidP="0044735B">
      <w:pPr>
        <w:pStyle w:val="Heading6"/>
        <w:autoSpaceDE/>
        <w:autoSpaceDN/>
        <w:adjustRightInd/>
        <w:rPr>
          <w:b w:val="0"/>
          <w:bCs w:val="0"/>
        </w:rPr>
      </w:pPr>
      <w:r w:rsidRPr="0044735B">
        <w:rPr>
          <w:b w:val="0"/>
          <w:bCs w:val="0"/>
        </w:rPr>
        <w:t xml:space="preserve">Table </w:t>
      </w:r>
      <w:r w:rsidR="00117CFE">
        <w:rPr>
          <w:b w:val="0"/>
          <w:bCs w:val="0"/>
        </w:rPr>
        <w:t>6</w:t>
      </w:r>
      <w:r w:rsidRPr="0044735B">
        <w:rPr>
          <w:b w:val="0"/>
          <w:bCs w:val="0"/>
        </w:rPr>
        <w:t xml:space="preserve"> below shows that as </w:t>
      </w:r>
      <w:proofErr w:type="gramStart"/>
      <w:r w:rsidRPr="0044735B">
        <w:rPr>
          <w:b w:val="0"/>
          <w:bCs w:val="0"/>
        </w:rPr>
        <w:t>at</w:t>
      </w:r>
      <w:proofErr w:type="gramEnd"/>
      <w:r w:rsidRPr="0044735B">
        <w:rPr>
          <w:b w:val="0"/>
          <w:bCs w:val="0"/>
        </w:rPr>
        <w:t xml:space="preserve"> January 2022 the majority (89.5%) of Harrow’s primary school pupils reside within the borough of Harrow.</w:t>
      </w:r>
    </w:p>
    <w:p w14:paraId="53226F92" w14:textId="184A1D70" w:rsidR="00A16979" w:rsidRPr="002822D7" w:rsidRDefault="00A16979" w:rsidP="00A16979">
      <w:pPr>
        <w:pStyle w:val="Heading6"/>
        <w:autoSpaceDE/>
        <w:autoSpaceDN/>
        <w:adjustRightInd/>
        <w:rPr>
          <w:b w:val="0"/>
        </w:rPr>
      </w:pPr>
    </w:p>
    <w:p w14:paraId="6B1F0E40" w14:textId="77777777" w:rsidR="00A16979" w:rsidRPr="002822D7" w:rsidRDefault="00A16979" w:rsidP="00A16979"/>
    <w:p w14:paraId="2B31537F" w14:textId="3E8041A6" w:rsidR="00676E4B" w:rsidRDefault="00A16979" w:rsidP="00676E4B">
      <w:r w:rsidRPr="002822D7">
        <w:br w:type="page"/>
      </w:r>
      <w:r w:rsidR="00676E4B" w:rsidRPr="00B7014C">
        <w:lastRenderedPageBreak/>
        <w:t xml:space="preserve">Table </w:t>
      </w:r>
      <w:r w:rsidR="00C40020">
        <w:t>6</w:t>
      </w:r>
      <w:r w:rsidR="00676E4B" w:rsidRPr="00B7014C">
        <w:t>: Harrow schools’ Reception to Year 6 pupils Harrow ward of residence</w:t>
      </w:r>
      <w:r w:rsidR="00676E4B">
        <w:t xml:space="preserve"> </w:t>
      </w:r>
      <w:r w:rsidR="00676E4B" w:rsidRPr="00B7014C">
        <w:t>January 20</w:t>
      </w:r>
      <w:r w:rsidR="00676E4B">
        <w:t>23</w:t>
      </w:r>
    </w:p>
    <w:tbl>
      <w:tblPr>
        <w:tblW w:w="7068" w:type="dxa"/>
        <w:tblLook w:val="04A0" w:firstRow="1" w:lastRow="0" w:firstColumn="1" w:lastColumn="0" w:noHBand="0" w:noVBand="1"/>
      </w:tblPr>
      <w:tblGrid>
        <w:gridCol w:w="2417"/>
        <w:gridCol w:w="2148"/>
        <w:gridCol w:w="2503"/>
      </w:tblGrid>
      <w:tr w:rsidR="00676E4B" w:rsidRPr="00BC0D1C" w14:paraId="28B17FD2" w14:textId="77777777" w:rsidTr="00890082">
        <w:trPr>
          <w:trHeight w:val="315"/>
        </w:trPr>
        <w:tc>
          <w:tcPr>
            <w:tcW w:w="2417" w:type="dxa"/>
            <w:tcBorders>
              <w:top w:val="single" w:sz="4" w:space="0" w:color="auto"/>
              <w:left w:val="single" w:sz="4" w:space="0" w:color="auto"/>
              <w:bottom w:val="double" w:sz="6" w:space="0" w:color="auto"/>
              <w:right w:val="single" w:sz="4" w:space="0" w:color="auto"/>
            </w:tcBorders>
            <w:shd w:val="clear" w:color="auto" w:fill="auto"/>
            <w:noWrap/>
            <w:vAlign w:val="center"/>
            <w:hideMark/>
          </w:tcPr>
          <w:p w14:paraId="1E5CFFD6" w14:textId="77777777" w:rsidR="00676E4B" w:rsidRPr="0022239E" w:rsidRDefault="00676E4B" w:rsidP="00890082">
            <w:pPr>
              <w:rPr>
                <w:b/>
                <w:bCs/>
                <w:color w:val="000000"/>
                <w:sz w:val="22"/>
                <w:szCs w:val="22"/>
                <w:lang w:eastAsia="en-GB"/>
              </w:rPr>
            </w:pPr>
            <w:r w:rsidRPr="0022239E">
              <w:rPr>
                <w:b/>
                <w:bCs/>
                <w:color w:val="000000"/>
                <w:sz w:val="22"/>
                <w:szCs w:val="22"/>
                <w:lang w:eastAsia="en-GB"/>
              </w:rPr>
              <w:t>Ward</w:t>
            </w:r>
          </w:p>
        </w:tc>
        <w:tc>
          <w:tcPr>
            <w:tcW w:w="2148" w:type="dxa"/>
            <w:tcBorders>
              <w:top w:val="single" w:sz="4" w:space="0" w:color="auto"/>
              <w:left w:val="nil"/>
              <w:bottom w:val="double" w:sz="6" w:space="0" w:color="auto"/>
              <w:right w:val="single" w:sz="4" w:space="0" w:color="auto"/>
            </w:tcBorders>
            <w:shd w:val="clear" w:color="auto" w:fill="auto"/>
            <w:noWrap/>
            <w:vAlign w:val="center"/>
            <w:hideMark/>
          </w:tcPr>
          <w:p w14:paraId="70CF8044" w14:textId="77777777" w:rsidR="00676E4B" w:rsidRPr="0022239E" w:rsidRDefault="00676E4B" w:rsidP="00890082">
            <w:pPr>
              <w:jc w:val="center"/>
              <w:rPr>
                <w:b/>
                <w:bCs/>
                <w:color w:val="000000"/>
                <w:sz w:val="22"/>
                <w:szCs w:val="22"/>
                <w:lang w:eastAsia="en-GB"/>
              </w:rPr>
            </w:pPr>
            <w:r w:rsidRPr="0022239E">
              <w:rPr>
                <w:b/>
                <w:bCs/>
                <w:color w:val="000000"/>
                <w:sz w:val="22"/>
                <w:szCs w:val="22"/>
                <w:lang w:eastAsia="en-GB"/>
              </w:rPr>
              <w:t xml:space="preserve">Number of </w:t>
            </w:r>
            <w:r>
              <w:rPr>
                <w:b/>
                <w:bCs/>
                <w:color w:val="000000"/>
                <w:sz w:val="22"/>
                <w:szCs w:val="22"/>
                <w:lang w:eastAsia="en-GB"/>
              </w:rPr>
              <w:t xml:space="preserve">Primary </w:t>
            </w:r>
            <w:r w:rsidRPr="0022239E">
              <w:rPr>
                <w:b/>
                <w:bCs/>
                <w:color w:val="000000"/>
                <w:sz w:val="22"/>
                <w:szCs w:val="22"/>
                <w:lang w:eastAsia="en-GB"/>
              </w:rPr>
              <w:t>pupils</w:t>
            </w:r>
            <w:r>
              <w:rPr>
                <w:b/>
                <w:bCs/>
                <w:color w:val="000000"/>
                <w:sz w:val="22"/>
                <w:szCs w:val="22"/>
                <w:lang w:eastAsia="en-GB"/>
              </w:rPr>
              <w:t xml:space="preserve"> on roll</w:t>
            </w:r>
          </w:p>
        </w:tc>
        <w:tc>
          <w:tcPr>
            <w:tcW w:w="2503" w:type="dxa"/>
            <w:tcBorders>
              <w:top w:val="single" w:sz="4" w:space="0" w:color="auto"/>
              <w:left w:val="nil"/>
              <w:bottom w:val="double" w:sz="6" w:space="0" w:color="auto"/>
              <w:right w:val="single" w:sz="4" w:space="0" w:color="auto"/>
            </w:tcBorders>
            <w:shd w:val="clear" w:color="auto" w:fill="auto"/>
            <w:noWrap/>
            <w:vAlign w:val="center"/>
            <w:hideMark/>
          </w:tcPr>
          <w:p w14:paraId="6378B480" w14:textId="77777777" w:rsidR="00676E4B" w:rsidRPr="00BC0D1C" w:rsidRDefault="00676E4B" w:rsidP="00890082">
            <w:pPr>
              <w:jc w:val="center"/>
              <w:rPr>
                <w:b/>
                <w:bCs/>
                <w:color w:val="000000"/>
                <w:sz w:val="22"/>
                <w:szCs w:val="22"/>
                <w:lang w:eastAsia="en-GB"/>
              </w:rPr>
            </w:pPr>
            <w:r w:rsidRPr="00BC0D1C">
              <w:rPr>
                <w:b/>
                <w:bCs/>
                <w:color w:val="000000"/>
                <w:sz w:val="22"/>
                <w:szCs w:val="22"/>
                <w:lang w:eastAsia="en-GB"/>
              </w:rPr>
              <w:t>Percentage of primary pupils on roll</w:t>
            </w:r>
          </w:p>
        </w:tc>
      </w:tr>
      <w:tr w:rsidR="00676E4B" w:rsidRPr="0022239E" w14:paraId="557F7EAA" w14:textId="77777777" w:rsidTr="00890082">
        <w:trPr>
          <w:trHeight w:val="315"/>
        </w:trPr>
        <w:tc>
          <w:tcPr>
            <w:tcW w:w="2417" w:type="dxa"/>
            <w:tcBorders>
              <w:top w:val="nil"/>
              <w:left w:val="single" w:sz="4" w:space="0" w:color="auto"/>
              <w:bottom w:val="single" w:sz="4" w:space="0" w:color="auto"/>
              <w:right w:val="single" w:sz="4" w:space="0" w:color="auto"/>
            </w:tcBorders>
            <w:shd w:val="clear" w:color="auto" w:fill="auto"/>
            <w:noWrap/>
            <w:vAlign w:val="center"/>
            <w:hideMark/>
          </w:tcPr>
          <w:p w14:paraId="3C8175A7" w14:textId="77777777" w:rsidR="00676E4B" w:rsidRPr="0022239E" w:rsidRDefault="00676E4B" w:rsidP="00890082">
            <w:pPr>
              <w:rPr>
                <w:color w:val="000000"/>
                <w:sz w:val="22"/>
                <w:szCs w:val="22"/>
                <w:lang w:eastAsia="en-GB"/>
              </w:rPr>
            </w:pPr>
            <w:r w:rsidRPr="0022239E">
              <w:rPr>
                <w:color w:val="000000"/>
                <w:sz w:val="22"/>
                <w:szCs w:val="22"/>
                <w:lang w:eastAsia="en-GB"/>
              </w:rPr>
              <w:t>Headstone</w:t>
            </w:r>
          </w:p>
        </w:tc>
        <w:tc>
          <w:tcPr>
            <w:tcW w:w="2148" w:type="dxa"/>
            <w:tcBorders>
              <w:top w:val="nil"/>
              <w:left w:val="nil"/>
              <w:bottom w:val="single" w:sz="4" w:space="0" w:color="auto"/>
              <w:right w:val="single" w:sz="4" w:space="0" w:color="auto"/>
            </w:tcBorders>
            <w:shd w:val="clear" w:color="auto" w:fill="auto"/>
            <w:noWrap/>
            <w:vAlign w:val="center"/>
            <w:hideMark/>
          </w:tcPr>
          <w:p w14:paraId="4D8B63C1" w14:textId="77777777" w:rsidR="00676E4B" w:rsidRPr="0022239E" w:rsidRDefault="00676E4B" w:rsidP="00890082">
            <w:pPr>
              <w:jc w:val="center"/>
              <w:rPr>
                <w:color w:val="000000"/>
                <w:sz w:val="22"/>
                <w:szCs w:val="22"/>
                <w:lang w:eastAsia="en-GB"/>
              </w:rPr>
            </w:pPr>
            <w:r w:rsidRPr="0022239E">
              <w:rPr>
                <w:color w:val="000000"/>
                <w:sz w:val="22"/>
                <w:szCs w:val="22"/>
                <w:lang w:eastAsia="en-GB"/>
              </w:rPr>
              <w:t>1</w:t>
            </w:r>
            <w:r>
              <w:rPr>
                <w:color w:val="000000"/>
                <w:sz w:val="22"/>
                <w:szCs w:val="22"/>
                <w:lang w:eastAsia="en-GB"/>
              </w:rPr>
              <w:t>,</w:t>
            </w:r>
            <w:r w:rsidRPr="0022239E">
              <w:rPr>
                <w:color w:val="000000"/>
                <w:sz w:val="22"/>
                <w:szCs w:val="22"/>
                <w:lang w:eastAsia="en-GB"/>
              </w:rPr>
              <w:t>2</w:t>
            </w:r>
            <w:r>
              <w:rPr>
                <w:color w:val="000000"/>
                <w:sz w:val="22"/>
                <w:szCs w:val="22"/>
                <w:lang w:eastAsia="en-GB"/>
              </w:rPr>
              <w:t>87</w:t>
            </w:r>
          </w:p>
        </w:tc>
        <w:tc>
          <w:tcPr>
            <w:tcW w:w="2503" w:type="dxa"/>
            <w:tcBorders>
              <w:top w:val="nil"/>
              <w:left w:val="nil"/>
              <w:bottom w:val="single" w:sz="4" w:space="0" w:color="auto"/>
              <w:right w:val="single" w:sz="4" w:space="0" w:color="auto"/>
            </w:tcBorders>
            <w:shd w:val="clear" w:color="auto" w:fill="auto"/>
            <w:noWrap/>
            <w:vAlign w:val="center"/>
            <w:hideMark/>
          </w:tcPr>
          <w:p w14:paraId="777EC604" w14:textId="77777777" w:rsidR="00676E4B" w:rsidRPr="0022239E" w:rsidRDefault="00676E4B" w:rsidP="00890082">
            <w:pPr>
              <w:jc w:val="center"/>
              <w:rPr>
                <w:color w:val="000000"/>
                <w:sz w:val="22"/>
                <w:szCs w:val="22"/>
                <w:lang w:eastAsia="en-GB"/>
              </w:rPr>
            </w:pPr>
            <w:r>
              <w:rPr>
                <w:color w:val="000000"/>
                <w:sz w:val="22"/>
                <w:szCs w:val="22"/>
                <w:lang w:eastAsia="en-GB"/>
              </w:rPr>
              <w:t>6.0</w:t>
            </w:r>
            <w:r w:rsidRPr="0022239E">
              <w:rPr>
                <w:color w:val="000000"/>
                <w:sz w:val="22"/>
                <w:szCs w:val="22"/>
                <w:lang w:eastAsia="en-GB"/>
              </w:rPr>
              <w:t>%</w:t>
            </w:r>
          </w:p>
        </w:tc>
      </w:tr>
      <w:tr w:rsidR="00676E4B" w:rsidRPr="0022239E" w14:paraId="2DEE02DB" w14:textId="77777777" w:rsidTr="00890082">
        <w:trPr>
          <w:trHeight w:val="300"/>
        </w:trPr>
        <w:tc>
          <w:tcPr>
            <w:tcW w:w="2417" w:type="dxa"/>
            <w:tcBorders>
              <w:top w:val="nil"/>
              <w:left w:val="single" w:sz="4" w:space="0" w:color="auto"/>
              <w:bottom w:val="single" w:sz="4" w:space="0" w:color="auto"/>
              <w:right w:val="single" w:sz="4" w:space="0" w:color="auto"/>
            </w:tcBorders>
            <w:shd w:val="clear" w:color="auto" w:fill="auto"/>
            <w:noWrap/>
            <w:vAlign w:val="center"/>
            <w:hideMark/>
          </w:tcPr>
          <w:p w14:paraId="172B194D" w14:textId="77777777" w:rsidR="00676E4B" w:rsidRPr="0022239E" w:rsidRDefault="00676E4B" w:rsidP="00890082">
            <w:pPr>
              <w:rPr>
                <w:color w:val="000000"/>
                <w:sz w:val="22"/>
                <w:szCs w:val="22"/>
                <w:lang w:eastAsia="en-GB"/>
              </w:rPr>
            </w:pPr>
            <w:r w:rsidRPr="0022239E">
              <w:rPr>
                <w:color w:val="000000"/>
                <w:sz w:val="22"/>
                <w:szCs w:val="22"/>
                <w:lang w:eastAsia="en-GB"/>
              </w:rPr>
              <w:t>Edgware</w:t>
            </w:r>
          </w:p>
        </w:tc>
        <w:tc>
          <w:tcPr>
            <w:tcW w:w="2148" w:type="dxa"/>
            <w:tcBorders>
              <w:top w:val="nil"/>
              <w:left w:val="nil"/>
              <w:bottom w:val="single" w:sz="4" w:space="0" w:color="auto"/>
              <w:right w:val="single" w:sz="4" w:space="0" w:color="auto"/>
            </w:tcBorders>
            <w:shd w:val="clear" w:color="auto" w:fill="auto"/>
            <w:noWrap/>
            <w:vAlign w:val="center"/>
            <w:hideMark/>
          </w:tcPr>
          <w:p w14:paraId="6B7654C5" w14:textId="77777777" w:rsidR="00676E4B" w:rsidRPr="0022239E" w:rsidRDefault="00676E4B" w:rsidP="00890082">
            <w:pPr>
              <w:jc w:val="center"/>
              <w:rPr>
                <w:color w:val="000000"/>
                <w:sz w:val="22"/>
                <w:szCs w:val="22"/>
                <w:lang w:eastAsia="en-GB"/>
              </w:rPr>
            </w:pPr>
            <w:r w:rsidRPr="0022239E">
              <w:rPr>
                <w:color w:val="000000"/>
                <w:sz w:val="22"/>
                <w:szCs w:val="22"/>
                <w:lang w:eastAsia="en-GB"/>
              </w:rPr>
              <w:t>1</w:t>
            </w:r>
            <w:r>
              <w:rPr>
                <w:color w:val="000000"/>
                <w:sz w:val="22"/>
                <w:szCs w:val="22"/>
                <w:lang w:eastAsia="en-GB"/>
              </w:rPr>
              <w:t>,227</w:t>
            </w:r>
          </w:p>
        </w:tc>
        <w:tc>
          <w:tcPr>
            <w:tcW w:w="2503" w:type="dxa"/>
            <w:tcBorders>
              <w:top w:val="nil"/>
              <w:left w:val="nil"/>
              <w:bottom w:val="single" w:sz="4" w:space="0" w:color="auto"/>
              <w:right w:val="single" w:sz="4" w:space="0" w:color="auto"/>
            </w:tcBorders>
            <w:shd w:val="clear" w:color="auto" w:fill="auto"/>
            <w:noWrap/>
            <w:vAlign w:val="center"/>
            <w:hideMark/>
          </w:tcPr>
          <w:p w14:paraId="359EF371" w14:textId="77777777" w:rsidR="00676E4B" w:rsidRPr="0022239E" w:rsidRDefault="00676E4B" w:rsidP="00890082">
            <w:pPr>
              <w:jc w:val="center"/>
              <w:rPr>
                <w:color w:val="000000"/>
                <w:sz w:val="22"/>
                <w:szCs w:val="22"/>
                <w:lang w:eastAsia="en-GB"/>
              </w:rPr>
            </w:pPr>
            <w:r w:rsidRPr="0022239E">
              <w:rPr>
                <w:color w:val="000000"/>
                <w:sz w:val="22"/>
                <w:szCs w:val="22"/>
                <w:lang w:eastAsia="en-GB"/>
              </w:rPr>
              <w:t>5.</w:t>
            </w:r>
            <w:r>
              <w:rPr>
                <w:color w:val="000000"/>
                <w:sz w:val="22"/>
                <w:szCs w:val="22"/>
                <w:lang w:eastAsia="en-GB"/>
              </w:rPr>
              <w:t>7</w:t>
            </w:r>
            <w:r w:rsidRPr="0022239E">
              <w:rPr>
                <w:color w:val="000000"/>
                <w:sz w:val="22"/>
                <w:szCs w:val="22"/>
                <w:lang w:eastAsia="en-GB"/>
              </w:rPr>
              <w:t>%</w:t>
            </w:r>
          </w:p>
        </w:tc>
      </w:tr>
      <w:tr w:rsidR="00676E4B" w:rsidRPr="0022239E" w14:paraId="3541A1A3" w14:textId="77777777" w:rsidTr="00890082">
        <w:trPr>
          <w:trHeight w:val="300"/>
        </w:trPr>
        <w:tc>
          <w:tcPr>
            <w:tcW w:w="2417" w:type="dxa"/>
            <w:tcBorders>
              <w:top w:val="nil"/>
              <w:left w:val="single" w:sz="4" w:space="0" w:color="auto"/>
              <w:bottom w:val="single" w:sz="4" w:space="0" w:color="auto"/>
              <w:right w:val="single" w:sz="4" w:space="0" w:color="auto"/>
            </w:tcBorders>
            <w:shd w:val="clear" w:color="auto" w:fill="auto"/>
            <w:noWrap/>
            <w:vAlign w:val="center"/>
            <w:hideMark/>
          </w:tcPr>
          <w:p w14:paraId="1EF04601" w14:textId="77777777" w:rsidR="00676E4B" w:rsidRPr="0022239E" w:rsidRDefault="00676E4B" w:rsidP="00890082">
            <w:pPr>
              <w:rPr>
                <w:color w:val="000000"/>
                <w:sz w:val="22"/>
                <w:szCs w:val="22"/>
                <w:lang w:eastAsia="en-GB"/>
              </w:rPr>
            </w:pPr>
            <w:r w:rsidRPr="0022239E">
              <w:rPr>
                <w:color w:val="000000"/>
                <w:sz w:val="22"/>
                <w:szCs w:val="22"/>
                <w:lang w:eastAsia="en-GB"/>
              </w:rPr>
              <w:t>Pinner South</w:t>
            </w:r>
          </w:p>
        </w:tc>
        <w:tc>
          <w:tcPr>
            <w:tcW w:w="2148" w:type="dxa"/>
            <w:tcBorders>
              <w:top w:val="nil"/>
              <w:left w:val="nil"/>
              <w:bottom w:val="single" w:sz="4" w:space="0" w:color="auto"/>
              <w:right w:val="single" w:sz="4" w:space="0" w:color="auto"/>
            </w:tcBorders>
            <w:shd w:val="clear" w:color="auto" w:fill="auto"/>
            <w:noWrap/>
            <w:vAlign w:val="center"/>
            <w:hideMark/>
          </w:tcPr>
          <w:p w14:paraId="02BA61EB" w14:textId="77777777" w:rsidR="00676E4B" w:rsidRPr="0022239E" w:rsidRDefault="00676E4B" w:rsidP="00890082">
            <w:pPr>
              <w:jc w:val="center"/>
              <w:rPr>
                <w:color w:val="000000"/>
                <w:sz w:val="22"/>
                <w:szCs w:val="22"/>
                <w:lang w:eastAsia="en-GB"/>
              </w:rPr>
            </w:pPr>
            <w:r w:rsidRPr="0022239E">
              <w:rPr>
                <w:color w:val="000000"/>
                <w:sz w:val="22"/>
                <w:szCs w:val="22"/>
                <w:lang w:eastAsia="en-GB"/>
              </w:rPr>
              <w:t>1</w:t>
            </w:r>
            <w:r>
              <w:rPr>
                <w:color w:val="000000"/>
                <w:sz w:val="22"/>
                <w:szCs w:val="22"/>
                <w:lang w:eastAsia="en-GB"/>
              </w:rPr>
              <w:t>,</w:t>
            </w:r>
            <w:r w:rsidRPr="0022239E">
              <w:rPr>
                <w:color w:val="000000"/>
                <w:sz w:val="22"/>
                <w:szCs w:val="22"/>
                <w:lang w:eastAsia="en-GB"/>
              </w:rPr>
              <w:t>1</w:t>
            </w:r>
            <w:r>
              <w:rPr>
                <w:color w:val="000000"/>
                <w:sz w:val="22"/>
                <w:szCs w:val="22"/>
                <w:lang w:eastAsia="en-GB"/>
              </w:rPr>
              <w:t>77</w:t>
            </w:r>
          </w:p>
        </w:tc>
        <w:tc>
          <w:tcPr>
            <w:tcW w:w="2503" w:type="dxa"/>
            <w:tcBorders>
              <w:top w:val="nil"/>
              <w:left w:val="nil"/>
              <w:bottom w:val="single" w:sz="4" w:space="0" w:color="auto"/>
              <w:right w:val="single" w:sz="4" w:space="0" w:color="auto"/>
            </w:tcBorders>
            <w:shd w:val="clear" w:color="auto" w:fill="auto"/>
            <w:noWrap/>
            <w:vAlign w:val="center"/>
            <w:hideMark/>
          </w:tcPr>
          <w:p w14:paraId="434B27C6" w14:textId="77777777" w:rsidR="00676E4B" w:rsidRPr="0022239E" w:rsidRDefault="00676E4B" w:rsidP="00890082">
            <w:pPr>
              <w:jc w:val="center"/>
              <w:rPr>
                <w:color w:val="000000"/>
                <w:sz w:val="22"/>
                <w:szCs w:val="22"/>
                <w:lang w:eastAsia="en-GB"/>
              </w:rPr>
            </w:pPr>
            <w:r w:rsidRPr="0022239E">
              <w:rPr>
                <w:color w:val="000000"/>
                <w:sz w:val="22"/>
                <w:szCs w:val="22"/>
                <w:lang w:eastAsia="en-GB"/>
              </w:rPr>
              <w:t>5.</w:t>
            </w:r>
            <w:r>
              <w:rPr>
                <w:color w:val="000000"/>
                <w:sz w:val="22"/>
                <w:szCs w:val="22"/>
                <w:lang w:eastAsia="en-GB"/>
              </w:rPr>
              <w:t>5</w:t>
            </w:r>
            <w:r w:rsidRPr="0022239E">
              <w:rPr>
                <w:color w:val="000000"/>
                <w:sz w:val="22"/>
                <w:szCs w:val="22"/>
                <w:lang w:eastAsia="en-GB"/>
              </w:rPr>
              <w:t>%</w:t>
            </w:r>
          </w:p>
        </w:tc>
      </w:tr>
      <w:tr w:rsidR="00676E4B" w:rsidRPr="0022239E" w14:paraId="35CF203E" w14:textId="77777777" w:rsidTr="00890082">
        <w:trPr>
          <w:trHeight w:val="300"/>
        </w:trPr>
        <w:tc>
          <w:tcPr>
            <w:tcW w:w="2417" w:type="dxa"/>
            <w:tcBorders>
              <w:top w:val="nil"/>
              <w:left w:val="single" w:sz="4" w:space="0" w:color="auto"/>
              <w:bottom w:val="single" w:sz="4" w:space="0" w:color="auto"/>
              <w:right w:val="single" w:sz="4" w:space="0" w:color="auto"/>
            </w:tcBorders>
            <w:shd w:val="clear" w:color="auto" w:fill="auto"/>
            <w:noWrap/>
            <w:vAlign w:val="center"/>
            <w:hideMark/>
          </w:tcPr>
          <w:p w14:paraId="31E2B85E" w14:textId="77777777" w:rsidR="00676E4B" w:rsidRPr="0022239E" w:rsidRDefault="00676E4B" w:rsidP="00890082">
            <w:pPr>
              <w:rPr>
                <w:color w:val="000000"/>
                <w:sz w:val="22"/>
                <w:szCs w:val="22"/>
                <w:lang w:eastAsia="en-GB"/>
              </w:rPr>
            </w:pPr>
            <w:r w:rsidRPr="0022239E">
              <w:rPr>
                <w:color w:val="000000"/>
                <w:sz w:val="22"/>
                <w:szCs w:val="22"/>
                <w:lang w:eastAsia="en-GB"/>
              </w:rPr>
              <w:t>Centenary</w:t>
            </w:r>
          </w:p>
        </w:tc>
        <w:tc>
          <w:tcPr>
            <w:tcW w:w="2148" w:type="dxa"/>
            <w:tcBorders>
              <w:top w:val="nil"/>
              <w:left w:val="nil"/>
              <w:bottom w:val="single" w:sz="4" w:space="0" w:color="auto"/>
              <w:right w:val="single" w:sz="4" w:space="0" w:color="auto"/>
            </w:tcBorders>
            <w:shd w:val="clear" w:color="auto" w:fill="auto"/>
            <w:noWrap/>
            <w:vAlign w:val="center"/>
            <w:hideMark/>
          </w:tcPr>
          <w:p w14:paraId="61C7B2EE" w14:textId="77777777" w:rsidR="00676E4B" w:rsidRPr="0022239E" w:rsidRDefault="00676E4B" w:rsidP="00890082">
            <w:pPr>
              <w:jc w:val="center"/>
              <w:rPr>
                <w:color w:val="000000"/>
                <w:sz w:val="22"/>
                <w:szCs w:val="22"/>
                <w:lang w:eastAsia="en-GB"/>
              </w:rPr>
            </w:pPr>
            <w:r w:rsidRPr="0022239E">
              <w:rPr>
                <w:color w:val="000000"/>
                <w:sz w:val="22"/>
                <w:szCs w:val="22"/>
                <w:lang w:eastAsia="en-GB"/>
              </w:rPr>
              <w:t>1</w:t>
            </w:r>
            <w:r>
              <w:rPr>
                <w:color w:val="000000"/>
                <w:sz w:val="22"/>
                <w:szCs w:val="22"/>
                <w:lang w:eastAsia="en-GB"/>
              </w:rPr>
              <w:t>,163</w:t>
            </w:r>
          </w:p>
        </w:tc>
        <w:tc>
          <w:tcPr>
            <w:tcW w:w="2503" w:type="dxa"/>
            <w:tcBorders>
              <w:top w:val="nil"/>
              <w:left w:val="nil"/>
              <w:bottom w:val="single" w:sz="4" w:space="0" w:color="auto"/>
              <w:right w:val="single" w:sz="4" w:space="0" w:color="auto"/>
            </w:tcBorders>
            <w:shd w:val="clear" w:color="auto" w:fill="auto"/>
            <w:noWrap/>
            <w:vAlign w:val="center"/>
            <w:hideMark/>
          </w:tcPr>
          <w:p w14:paraId="45284AEC" w14:textId="77777777" w:rsidR="00676E4B" w:rsidRPr="0022239E" w:rsidRDefault="00676E4B" w:rsidP="00890082">
            <w:pPr>
              <w:jc w:val="center"/>
              <w:rPr>
                <w:color w:val="000000"/>
                <w:sz w:val="22"/>
                <w:szCs w:val="22"/>
                <w:lang w:eastAsia="en-GB"/>
              </w:rPr>
            </w:pPr>
            <w:r w:rsidRPr="0022239E">
              <w:rPr>
                <w:color w:val="000000"/>
                <w:sz w:val="22"/>
                <w:szCs w:val="22"/>
                <w:lang w:eastAsia="en-GB"/>
              </w:rPr>
              <w:t>5.</w:t>
            </w:r>
            <w:r>
              <w:rPr>
                <w:color w:val="000000"/>
                <w:sz w:val="22"/>
                <w:szCs w:val="22"/>
                <w:lang w:eastAsia="en-GB"/>
              </w:rPr>
              <w:t>4</w:t>
            </w:r>
            <w:r w:rsidRPr="0022239E">
              <w:rPr>
                <w:color w:val="000000"/>
                <w:sz w:val="22"/>
                <w:szCs w:val="22"/>
                <w:lang w:eastAsia="en-GB"/>
              </w:rPr>
              <w:t>%</w:t>
            </w:r>
          </w:p>
        </w:tc>
      </w:tr>
      <w:tr w:rsidR="00676E4B" w:rsidRPr="0022239E" w14:paraId="737D348C" w14:textId="77777777" w:rsidTr="00890082">
        <w:trPr>
          <w:trHeight w:val="300"/>
        </w:trPr>
        <w:tc>
          <w:tcPr>
            <w:tcW w:w="2417" w:type="dxa"/>
            <w:tcBorders>
              <w:top w:val="nil"/>
              <w:left w:val="single" w:sz="4" w:space="0" w:color="auto"/>
              <w:bottom w:val="single" w:sz="4" w:space="0" w:color="auto"/>
              <w:right w:val="single" w:sz="4" w:space="0" w:color="auto"/>
            </w:tcBorders>
            <w:shd w:val="clear" w:color="auto" w:fill="auto"/>
            <w:noWrap/>
            <w:vAlign w:val="center"/>
            <w:hideMark/>
          </w:tcPr>
          <w:p w14:paraId="6614C290" w14:textId="77777777" w:rsidR="00676E4B" w:rsidRPr="0022239E" w:rsidRDefault="00676E4B" w:rsidP="00890082">
            <w:pPr>
              <w:rPr>
                <w:color w:val="000000"/>
                <w:sz w:val="22"/>
                <w:szCs w:val="22"/>
                <w:lang w:eastAsia="en-GB"/>
              </w:rPr>
            </w:pPr>
            <w:r w:rsidRPr="0022239E">
              <w:rPr>
                <w:color w:val="000000"/>
                <w:sz w:val="22"/>
                <w:szCs w:val="22"/>
                <w:lang w:eastAsia="en-GB"/>
              </w:rPr>
              <w:t>Kenton East</w:t>
            </w:r>
          </w:p>
        </w:tc>
        <w:tc>
          <w:tcPr>
            <w:tcW w:w="2148" w:type="dxa"/>
            <w:tcBorders>
              <w:top w:val="nil"/>
              <w:left w:val="nil"/>
              <w:bottom w:val="single" w:sz="4" w:space="0" w:color="auto"/>
              <w:right w:val="single" w:sz="4" w:space="0" w:color="auto"/>
            </w:tcBorders>
            <w:shd w:val="clear" w:color="auto" w:fill="auto"/>
            <w:noWrap/>
            <w:vAlign w:val="center"/>
            <w:hideMark/>
          </w:tcPr>
          <w:p w14:paraId="4578F890" w14:textId="77777777" w:rsidR="00676E4B" w:rsidRPr="0022239E" w:rsidRDefault="00676E4B" w:rsidP="00890082">
            <w:pPr>
              <w:jc w:val="center"/>
              <w:rPr>
                <w:color w:val="000000"/>
                <w:sz w:val="22"/>
                <w:szCs w:val="22"/>
                <w:lang w:eastAsia="en-GB"/>
              </w:rPr>
            </w:pPr>
            <w:r w:rsidRPr="0022239E">
              <w:rPr>
                <w:color w:val="000000"/>
                <w:sz w:val="22"/>
                <w:szCs w:val="22"/>
                <w:lang w:eastAsia="en-GB"/>
              </w:rPr>
              <w:t>1</w:t>
            </w:r>
            <w:r>
              <w:rPr>
                <w:color w:val="000000"/>
                <w:sz w:val="22"/>
                <w:szCs w:val="22"/>
                <w:lang w:eastAsia="en-GB"/>
              </w:rPr>
              <w:t>,</w:t>
            </w:r>
            <w:r w:rsidRPr="0022239E">
              <w:rPr>
                <w:color w:val="000000"/>
                <w:sz w:val="22"/>
                <w:szCs w:val="22"/>
                <w:lang w:eastAsia="en-GB"/>
              </w:rPr>
              <w:t>0</w:t>
            </w:r>
            <w:r>
              <w:rPr>
                <w:color w:val="000000"/>
                <w:sz w:val="22"/>
                <w:szCs w:val="22"/>
                <w:lang w:eastAsia="en-GB"/>
              </w:rPr>
              <w:t>94</w:t>
            </w:r>
          </w:p>
        </w:tc>
        <w:tc>
          <w:tcPr>
            <w:tcW w:w="2503" w:type="dxa"/>
            <w:tcBorders>
              <w:top w:val="nil"/>
              <w:left w:val="nil"/>
              <w:bottom w:val="single" w:sz="4" w:space="0" w:color="auto"/>
              <w:right w:val="single" w:sz="4" w:space="0" w:color="auto"/>
            </w:tcBorders>
            <w:shd w:val="clear" w:color="auto" w:fill="auto"/>
            <w:noWrap/>
            <w:vAlign w:val="center"/>
            <w:hideMark/>
          </w:tcPr>
          <w:p w14:paraId="4CE47584" w14:textId="77777777" w:rsidR="00676E4B" w:rsidRPr="0022239E" w:rsidRDefault="00676E4B" w:rsidP="00890082">
            <w:pPr>
              <w:jc w:val="center"/>
              <w:rPr>
                <w:color w:val="000000"/>
                <w:sz w:val="22"/>
                <w:szCs w:val="22"/>
                <w:lang w:eastAsia="en-GB"/>
              </w:rPr>
            </w:pPr>
            <w:r w:rsidRPr="0022239E">
              <w:rPr>
                <w:color w:val="000000"/>
                <w:sz w:val="22"/>
                <w:szCs w:val="22"/>
                <w:lang w:eastAsia="en-GB"/>
              </w:rPr>
              <w:t>5.1%</w:t>
            </w:r>
          </w:p>
        </w:tc>
      </w:tr>
      <w:tr w:rsidR="00676E4B" w:rsidRPr="0022239E" w14:paraId="1A8B2FC6" w14:textId="77777777" w:rsidTr="00890082">
        <w:trPr>
          <w:trHeight w:val="300"/>
        </w:trPr>
        <w:tc>
          <w:tcPr>
            <w:tcW w:w="2417" w:type="dxa"/>
            <w:tcBorders>
              <w:top w:val="nil"/>
              <w:left w:val="single" w:sz="4" w:space="0" w:color="auto"/>
              <w:bottom w:val="single" w:sz="4" w:space="0" w:color="auto"/>
              <w:right w:val="single" w:sz="4" w:space="0" w:color="auto"/>
            </w:tcBorders>
            <w:shd w:val="clear" w:color="auto" w:fill="auto"/>
            <w:noWrap/>
            <w:vAlign w:val="center"/>
            <w:hideMark/>
          </w:tcPr>
          <w:p w14:paraId="2555D8C5" w14:textId="77777777" w:rsidR="00676E4B" w:rsidRPr="0022239E" w:rsidRDefault="00676E4B" w:rsidP="00890082">
            <w:pPr>
              <w:rPr>
                <w:color w:val="000000"/>
                <w:sz w:val="22"/>
                <w:szCs w:val="22"/>
                <w:lang w:eastAsia="en-GB"/>
              </w:rPr>
            </w:pPr>
            <w:r w:rsidRPr="0022239E">
              <w:rPr>
                <w:color w:val="000000"/>
                <w:sz w:val="22"/>
                <w:szCs w:val="22"/>
                <w:lang w:eastAsia="en-GB"/>
              </w:rPr>
              <w:t>Marlborough</w:t>
            </w:r>
          </w:p>
        </w:tc>
        <w:tc>
          <w:tcPr>
            <w:tcW w:w="2148" w:type="dxa"/>
            <w:tcBorders>
              <w:top w:val="nil"/>
              <w:left w:val="nil"/>
              <w:bottom w:val="single" w:sz="4" w:space="0" w:color="auto"/>
              <w:right w:val="single" w:sz="4" w:space="0" w:color="auto"/>
            </w:tcBorders>
            <w:shd w:val="clear" w:color="auto" w:fill="auto"/>
            <w:noWrap/>
            <w:vAlign w:val="center"/>
            <w:hideMark/>
          </w:tcPr>
          <w:p w14:paraId="6969C56C" w14:textId="77777777" w:rsidR="00676E4B" w:rsidRPr="0022239E" w:rsidRDefault="00676E4B" w:rsidP="00890082">
            <w:pPr>
              <w:jc w:val="center"/>
              <w:rPr>
                <w:color w:val="000000"/>
                <w:sz w:val="22"/>
                <w:szCs w:val="22"/>
                <w:lang w:eastAsia="en-GB"/>
              </w:rPr>
            </w:pPr>
            <w:r w:rsidRPr="0022239E">
              <w:rPr>
                <w:color w:val="000000"/>
                <w:sz w:val="22"/>
                <w:szCs w:val="22"/>
                <w:lang w:eastAsia="en-GB"/>
              </w:rPr>
              <w:t>1</w:t>
            </w:r>
            <w:r>
              <w:rPr>
                <w:color w:val="000000"/>
                <w:sz w:val="22"/>
                <w:szCs w:val="22"/>
                <w:lang w:eastAsia="en-GB"/>
              </w:rPr>
              <w:t>,092</w:t>
            </w:r>
          </w:p>
        </w:tc>
        <w:tc>
          <w:tcPr>
            <w:tcW w:w="2503" w:type="dxa"/>
            <w:tcBorders>
              <w:top w:val="nil"/>
              <w:left w:val="nil"/>
              <w:bottom w:val="single" w:sz="4" w:space="0" w:color="auto"/>
              <w:right w:val="single" w:sz="4" w:space="0" w:color="auto"/>
            </w:tcBorders>
            <w:shd w:val="clear" w:color="auto" w:fill="auto"/>
            <w:noWrap/>
            <w:vAlign w:val="center"/>
            <w:hideMark/>
          </w:tcPr>
          <w:p w14:paraId="19C7A17E" w14:textId="77777777" w:rsidR="00676E4B" w:rsidRPr="0022239E" w:rsidRDefault="00676E4B" w:rsidP="00890082">
            <w:pPr>
              <w:jc w:val="center"/>
              <w:rPr>
                <w:color w:val="000000"/>
                <w:sz w:val="22"/>
                <w:szCs w:val="22"/>
                <w:lang w:eastAsia="en-GB"/>
              </w:rPr>
            </w:pPr>
            <w:r>
              <w:rPr>
                <w:color w:val="000000"/>
                <w:sz w:val="22"/>
                <w:szCs w:val="22"/>
                <w:lang w:eastAsia="en-GB"/>
              </w:rPr>
              <w:t>5</w:t>
            </w:r>
            <w:r w:rsidRPr="0022239E">
              <w:rPr>
                <w:color w:val="000000"/>
                <w:sz w:val="22"/>
                <w:szCs w:val="22"/>
                <w:lang w:eastAsia="en-GB"/>
              </w:rPr>
              <w:t>.</w:t>
            </w:r>
            <w:r>
              <w:rPr>
                <w:color w:val="000000"/>
                <w:sz w:val="22"/>
                <w:szCs w:val="22"/>
                <w:lang w:eastAsia="en-GB"/>
              </w:rPr>
              <w:t>1</w:t>
            </w:r>
            <w:r w:rsidRPr="0022239E">
              <w:rPr>
                <w:color w:val="000000"/>
                <w:sz w:val="22"/>
                <w:szCs w:val="22"/>
                <w:lang w:eastAsia="en-GB"/>
              </w:rPr>
              <w:t>%</w:t>
            </w:r>
          </w:p>
        </w:tc>
      </w:tr>
      <w:tr w:rsidR="00676E4B" w:rsidRPr="0022239E" w14:paraId="5BC16C7B" w14:textId="77777777" w:rsidTr="00890082">
        <w:trPr>
          <w:trHeight w:val="300"/>
        </w:trPr>
        <w:tc>
          <w:tcPr>
            <w:tcW w:w="2417" w:type="dxa"/>
            <w:tcBorders>
              <w:top w:val="nil"/>
              <w:left w:val="single" w:sz="4" w:space="0" w:color="auto"/>
              <w:bottom w:val="single" w:sz="4" w:space="0" w:color="auto"/>
              <w:right w:val="single" w:sz="4" w:space="0" w:color="auto"/>
            </w:tcBorders>
            <w:shd w:val="clear" w:color="auto" w:fill="auto"/>
            <w:noWrap/>
            <w:vAlign w:val="center"/>
            <w:hideMark/>
          </w:tcPr>
          <w:p w14:paraId="68B47FF7" w14:textId="77777777" w:rsidR="00676E4B" w:rsidRPr="0022239E" w:rsidRDefault="00676E4B" w:rsidP="00890082">
            <w:pPr>
              <w:rPr>
                <w:color w:val="000000"/>
                <w:sz w:val="22"/>
                <w:szCs w:val="22"/>
                <w:lang w:eastAsia="en-GB"/>
              </w:rPr>
            </w:pPr>
            <w:r w:rsidRPr="0022239E">
              <w:rPr>
                <w:color w:val="000000"/>
                <w:sz w:val="22"/>
                <w:szCs w:val="22"/>
                <w:lang w:eastAsia="en-GB"/>
              </w:rPr>
              <w:t>Roxeth</w:t>
            </w:r>
          </w:p>
        </w:tc>
        <w:tc>
          <w:tcPr>
            <w:tcW w:w="2148" w:type="dxa"/>
            <w:tcBorders>
              <w:top w:val="nil"/>
              <w:left w:val="nil"/>
              <w:bottom w:val="single" w:sz="4" w:space="0" w:color="auto"/>
              <w:right w:val="single" w:sz="4" w:space="0" w:color="auto"/>
            </w:tcBorders>
            <w:shd w:val="clear" w:color="auto" w:fill="auto"/>
            <w:noWrap/>
            <w:vAlign w:val="center"/>
            <w:hideMark/>
          </w:tcPr>
          <w:p w14:paraId="6F9E1A0B" w14:textId="77777777" w:rsidR="00676E4B" w:rsidRPr="0022239E" w:rsidRDefault="00676E4B" w:rsidP="00890082">
            <w:pPr>
              <w:jc w:val="center"/>
              <w:rPr>
                <w:color w:val="000000"/>
                <w:sz w:val="22"/>
                <w:szCs w:val="22"/>
                <w:lang w:eastAsia="en-GB"/>
              </w:rPr>
            </w:pPr>
            <w:r w:rsidRPr="0022239E">
              <w:rPr>
                <w:color w:val="000000"/>
                <w:sz w:val="22"/>
                <w:szCs w:val="22"/>
                <w:lang w:eastAsia="en-GB"/>
              </w:rPr>
              <w:t>1</w:t>
            </w:r>
            <w:r>
              <w:rPr>
                <w:color w:val="000000"/>
                <w:sz w:val="22"/>
                <w:szCs w:val="22"/>
                <w:lang w:eastAsia="en-GB"/>
              </w:rPr>
              <w:t>,068</w:t>
            </w:r>
          </w:p>
        </w:tc>
        <w:tc>
          <w:tcPr>
            <w:tcW w:w="2503" w:type="dxa"/>
            <w:tcBorders>
              <w:top w:val="nil"/>
              <w:left w:val="nil"/>
              <w:bottom w:val="single" w:sz="4" w:space="0" w:color="auto"/>
              <w:right w:val="single" w:sz="4" w:space="0" w:color="auto"/>
            </w:tcBorders>
            <w:shd w:val="clear" w:color="auto" w:fill="auto"/>
            <w:noWrap/>
            <w:vAlign w:val="center"/>
            <w:hideMark/>
          </w:tcPr>
          <w:p w14:paraId="1F5A06BE" w14:textId="77777777" w:rsidR="00676E4B" w:rsidRPr="0022239E" w:rsidRDefault="00676E4B" w:rsidP="00890082">
            <w:pPr>
              <w:jc w:val="center"/>
              <w:rPr>
                <w:color w:val="000000"/>
                <w:sz w:val="22"/>
                <w:szCs w:val="22"/>
                <w:lang w:eastAsia="en-GB"/>
              </w:rPr>
            </w:pPr>
            <w:r w:rsidRPr="0022239E">
              <w:rPr>
                <w:color w:val="000000"/>
                <w:sz w:val="22"/>
                <w:szCs w:val="22"/>
                <w:lang w:eastAsia="en-GB"/>
              </w:rPr>
              <w:t>5.</w:t>
            </w:r>
            <w:r>
              <w:rPr>
                <w:color w:val="000000"/>
                <w:sz w:val="22"/>
                <w:szCs w:val="22"/>
                <w:lang w:eastAsia="en-GB"/>
              </w:rPr>
              <w:t>0</w:t>
            </w:r>
            <w:r w:rsidRPr="0022239E">
              <w:rPr>
                <w:color w:val="000000"/>
                <w:sz w:val="22"/>
                <w:szCs w:val="22"/>
                <w:lang w:eastAsia="en-GB"/>
              </w:rPr>
              <w:t>%</w:t>
            </w:r>
          </w:p>
        </w:tc>
      </w:tr>
      <w:tr w:rsidR="00676E4B" w:rsidRPr="0022239E" w14:paraId="1B6299C2" w14:textId="77777777" w:rsidTr="00890082">
        <w:trPr>
          <w:trHeight w:val="300"/>
        </w:trPr>
        <w:tc>
          <w:tcPr>
            <w:tcW w:w="2417" w:type="dxa"/>
            <w:tcBorders>
              <w:top w:val="nil"/>
              <w:left w:val="single" w:sz="4" w:space="0" w:color="auto"/>
              <w:bottom w:val="single" w:sz="4" w:space="0" w:color="auto"/>
              <w:right w:val="single" w:sz="4" w:space="0" w:color="auto"/>
            </w:tcBorders>
            <w:shd w:val="clear" w:color="auto" w:fill="auto"/>
            <w:noWrap/>
            <w:vAlign w:val="center"/>
            <w:hideMark/>
          </w:tcPr>
          <w:p w14:paraId="266B9323" w14:textId="77777777" w:rsidR="00676E4B" w:rsidRPr="0022239E" w:rsidRDefault="00676E4B" w:rsidP="00890082">
            <w:pPr>
              <w:rPr>
                <w:color w:val="000000"/>
                <w:sz w:val="22"/>
                <w:szCs w:val="22"/>
                <w:lang w:eastAsia="en-GB"/>
              </w:rPr>
            </w:pPr>
            <w:r w:rsidRPr="0022239E">
              <w:rPr>
                <w:color w:val="000000"/>
                <w:sz w:val="22"/>
                <w:szCs w:val="22"/>
                <w:lang w:eastAsia="en-GB"/>
              </w:rPr>
              <w:t>Harrow Weald</w:t>
            </w:r>
          </w:p>
        </w:tc>
        <w:tc>
          <w:tcPr>
            <w:tcW w:w="2148" w:type="dxa"/>
            <w:tcBorders>
              <w:top w:val="nil"/>
              <w:left w:val="nil"/>
              <w:bottom w:val="single" w:sz="4" w:space="0" w:color="auto"/>
              <w:right w:val="single" w:sz="4" w:space="0" w:color="auto"/>
            </w:tcBorders>
            <w:shd w:val="clear" w:color="auto" w:fill="auto"/>
            <w:noWrap/>
            <w:vAlign w:val="center"/>
            <w:hideMark/>
          </w:tcPr>
          <w:p w14:paraId="07F86123" w14:textId="77777777" w:rsidR="00676E4B" w:rsidRPr="0022239E" w:rsidRDefault="00676E4B" w:rsidP="00890082">
            <w:pPr>
              <w:jc w:val="center"/>
              <w:rPr>
                <w:color w:val="000000"/>
                <w:sz w:val="22"/>
                <w:szCs w:val="22"/>
                <w:lang w:eastAsia="en-GB"/>
              </w:rPr>
            </w:pPr>
            <w:r w:rsidRPr="0022239E">
              <w:rPr>
                <w:color w:val="000000"/>
                <w:sz w:val="22"/>
                <w:szCs w:val="22"/>
                <w:lang w:eastAsia="en-GB"/>
              </w:rPr>
              <w:t>1</w:t>
            </w:r>
            <w:r>
              <w:rPr>
                <w:color w:val="000000"/>
                <w:sz w:val="22"/>
                <w:szCs w:val="22"/>
                <w:lang w:eastAsia="en-GB"/>
              </w:rPr>
              <w:t>,</w:t>
            </w:r>
            <w:r w:rsidRPr="0022239E">
              <w:rPr>
                <w:color w:val="000000"/>
                <w:sz w:val="22"/>
                <w:szCs w:val="22"/>
                <w:lang w:eastAsia="en-GB"/>
              </w:rPr>
              <w:t>0</w:t>
            </w:r>
            <w:r>
              <w:rPr>
                <w:color w:val="000000"/>
                <w:sz w:val="22"/>
                <w:szCs w:val="22"/>
                <w:lang w:eastAsia="en-GB"/>
              </w:rPr>
              <w:t>49</w:t>
            </w:r>
          </w:p>
        </w:tc>
        <w:tc>
          <w:tcPr>
            <w:tcW w:w="2503" w:type="dxa"/>
            <w:tcBorders>
              <w:top w:val="nil"/>
              <w:left w:val="nil"/>
              <w:bottom w:val="single" w:sz="4" w:space="0" w:color="auto"/>
              <w:right w:val="single" w:sz="4" w:space="0" w:color="auto"/>
            </w:tcBorders>
            <w:shd w:val="clear" w:color="auto" w:fill="auto"/>
            <w:noWrap/>
            <w:vAlign w:val="center"/>
            <w:hideMark/>
          </w:tcPr>
          <w:p w14:paraId="5EB330C3" w14:textId="77777777" w:rsidR="00676E4B" w:rsidRPr="0022239E" w:rsidRDefault="00676E4B" w:rsidP="00890082">
            <w:pPr>
              <w:jc w:val="center"/>
              <w:rPr>
                <w:color w:val="000000"/>
                <w:sz w:val="22"/>
                <w:szCs w:val="22"/>
                <w:lang w:eastAsia="en-GB"/>
              </w:rPr>
            </w:pPr>
            <w:r>
              <w:rPr>
                <w:color w:val="000000"/>
                <w:sz w:val="22"/>
                <w:szCs w:val="22"/>
                <w:lang w:eastAsia="en-GB"/>
              </w:rPr>
              <w:t>4.9</w:t>
            </w:r>
            <w:r w:rsidRPr="0022239E">
              <w:rPr>
                <w:color w:val="000000"/>
                <w:sz w:val="22"/>
                <w:szCs w:val="22"/>
                <w:lang w:eastAsia="en-GB"/>
              </w:rPr>
              <w:t>%</w:t>
            </w:r>
          </w:p>
        </w:tc>
      </w:tr>
      <w:tr w:rsidR="00676E4B" w:rsidRPr="0022239E" w14:paraId="14981E68" w14:textId="77777777" w:rsidTr="00890082">
        <w:trPr>
          <w:trHeight w:val="300"/>
        </w:trPr>
        <w:tc>
          <w:tcPr>
            <w:tcW w:w="2417" w:type="dxa"/>
            <w:tcBorders>
              <w:top w:val="nil"/>
              <w:left w:val="single" w:sz="4" w:space="0" w:color="auto"/>
              <w:bottom w:val="single" w:sz="4" w:space="0" w:color="auto"/>
              <w:right w:val="single" w:sz="4" w:space="0" w:color="auto"/>
            </w:tcBorders>
            <w:shd w:val="clear" w:color="auto" w:fill="auto"/>
            <w:noWrap/>
            <w:vAlign w:val="center"/>
            <w:hideMark/>
          </w:tcPr>
          <w:p w14:paraId="30B1770D" w14:textId="77777777" w:rsidR="00676E4B" w:rsidRPr="0022239E" w:rsidRDefault="00676E4B" w:rsidP="00890082">
            <w:pPr>
              <w:rPr>
                <w:color w:val="000000"/>
                <w:sz w:val="22"/>
                <w:szCs w:val="22"/>
                <w:lang w:eastAsia="en-GB"/>
              </w:rPr>
            </w:pPr>
            <w:r w:rsidRPr="0022239E">
              <w:rPr>
                <w:color w:val="000000"/>
                <w:sz w:val="22"/>
                <w:szCs w:val="22"/>
                <w:lang w:eastAsia="en-GB"/>
              </w:rPr>
              <w:t>Wealdstone North</w:t>
            </w:r>
          </w:p>
        </w:tc>
        <w:tc>
          <w:tcPr>
            <w:tcW w:w="2148" w:type="dxa"/>
            <w:tcBorders>
              <w:top w:val="nil"/>
              <w:left w:val="nil"/>
              <w:bottom w:val="single" w:sz="4" w:space="0" w:color="auto"/>
              <w:right w:val="single" w:sz="4" w:space="0" w:color="auto"/>
            </w:tcBorders>
            <w:shd w:val="clear" w:color="auto" w:fill="auto"/>
            <w:noWrap/>
            <w:vAlign w:val="center"/>
            <w:hideMark/>
          </w:tcPr>
          <w:p w14:paraId="233103D1" w14:textId="77777777" w:rsidR="00676E4B" w:rsidRPr="0022239E" w:rsidRDefault="00676E4B" w:rsidP="00890082">
            <w:pPr>
              <w:jc w:val="center"/>
              <w:rPr>
                <w:color w:val="000000"/>
                <w:sz w:val="22"/>
                <w:szCs w:val="22"/>
                <w:lang w:eastAsia="en-GB"/>
              </w:rPr>
            </w:pPr>
            <w:r w:rsidRPr="0022239E">
              <w:rPr>
                <w:color w:val="000000"/>
                <w:sz w:val="22"/>
                <w:szCs w:val="22"/>
                <w:lang w:eastAsia="en-GB"/>
              </w:rPr>
              <w:t>9</w:t>
            </w:r>
            <w:r>
              <w:rPr>
                <w:color w:val="000000"/>
                <w:sz w:val="22"/>
                <w:szCs w:val="22"/>
                <w:lang w:eastAsia="en-GB"/>
              </w:rPr>
              <w:t>56</w:t>
            </w:r>
          </w:p>
        </w:tc>
        <w:tc>
          <w:tcPr>
            <w:tcW w:w="2503" w:type="dxa"/>
            <w:tcBorders>
              <w:top w:val="nil"/>
              <w:left w:val="nil"/>
              <w:bottom w:val="single" w:sz="4" w:space="0" w:color="auto"/>
              <w:right w:val="single" w:sz="4" w:space="0" w:color="auto"/>
            </w:tcBorders>
            <w:shd w:val="clear" w:color="auto" w:fill="auto"/>
            <w:noWrap/>
            <w:vAlign w:val="center"/>
            <w:hideMark/>
          </w:tcPr>
          <w:p w14:paraId="2A6C3774" w14:textId="77777777" w:rsidR="00676E4B" w:rsidRPr="0022239E" w:rsidRDefault="00676E4B" w:rsidP="00890082">
            <w:pPr>
              <w:jc w:val="center"/>
              <w:rPr>
                <w:color w:val="000000"/>
                <w:sz w:val="22"/>
                <w:szCs w:val="22"/>
                <w:lang w:eastAsia="en-GB"/>
              </w:rPr>
            </w:pPr>
            <w:r w:rsidRPr="0022239E">
              <w:rPr>
                <w:color w:val="000000"/>
                <w:sz w:val="22"/>
                <w:szCs w:val="22"/>
                <w:lang w:eastAsia="en-GB"/>
              </w:rPr>
              <w:t>4.4%</w:t>
            </w:r>
          </w:p>
        </w:tc>
      </w:tr>
      <w:tr w:rsidR="00676E4B" w:rsidRPr="0022239E" w14:paraId="15843D97" w14:textId="77777777" w:rsidTr="00890082">
        <w:trPr>
          <w:trHeight w:val="300"/>
        </w:trPr>
        <w:tc>
          <w:tcPr>
            <w:tcW w:w="2417" w:type="dxa"/>
            <w:tcBorders>
              <w:top w:val="nil"/>
              <w:left w:val="single" w:sz="4" w:space="0" w:color="auto"/>
              <w:bottom w:val="single" w:sz="4" w:space="0" w:color="auto"/>
              <w:right w:val="single" w:sz="4" w:space="0" w:color="auto"/>
            </w:tcBorders>
            <w:shd w:val="clear" w:color="auto" w:fill="auto"/>
            <w:noWrap/>
            <w:vAlign w:val="center"/>
            <w:hideMark/>
          </w:tcPr>
          <w:p w14:paraId="2AD33747" w14:textId="77777777" w:rsidR="00676E4B" w:rsidRPr="0022239E" w:rsidRDefault="00676E4B" w:rsidP="00890082">
            <w:pPr>
              <w:rPr>
                <w:color w:val="000000"/>
                <w:sz w:val="22"/>
                <w:szCs w:val="22"/>
                <w:lang w:eastAsia="en-GB"/>
              </w:rPr>
            </w:pPr>
            <w:r w:rsidRPr="0022239E">
              <w:rPr>
                <w:color w:val="000000"/>
                <w:sz w:val="22"/>
                <w:szCs w:val="22"/>
                <w:lang w:eastAsia="en-GB"/>
              </w:rPr>
              <w:t>Greenhill</w:t>
            </w:r>
          </w:p>
        </w:tc>
        <w:tc>
          <w:tcPr>
            <w:tcW w:w="2148" w:type="dxa"/>
            <w:tcBorders>
              <w:top w:val="nil"/>
              <w:left w:val="nil"/>
              <w:bottom w:val="single" w:sz="4" w:space="0" w:color="auto"/>
              <w:right w:val="single" w:sz="4" w:space="0" w:color="auto"/>
            </w:tcBorders>
            <w:shd w:val="clear" w:color="auto" w:fill="auto"/>
            <w:noWrap/>
            <w:vAlign w:val="center"/>
            <w:hideMark/>
          </w:tcPr>
          <w:p w14:paraId="03FC5AD1" w14:textId="77777777" w:rsidR="00676E4B" w:rsidRPr="0022239E" w:rsidRDefault="00676E4B" w:rsidP="00890082">
            <w:pPr>
              <w:jc w:val="center"/>
              <w:rPr>
                <w:color w:val="000000"/>
                <w:sz w:val="22"/>
                <w:szCs w:val="22"/>
                <w:lang w:eastAsia="en-GB"/>
              </w:rPr>
            </w:pPr>
            <w:r>
              <w:rPr>
                <w:color w:val="000000"/>
                <w:sz w:val="22"/>
                <w:szCs w:val="22"/>
                <w:lang w:eastAsia="en-GB"/>
              </w:rPr>
              <w:t>914</w:t>
            </w:r>
          </w:p>
        </w:tc>
        <w:tc>
          <w:tcPr>
            <w:tcW w:w="2503" w:type="dxa"/>
            <w:tcBorders>
              <w:top w:val="nil"/>
              <w:left w:val="nil"/>
              <w:bottom w:val="single" w:sz="4" w:space="0" w:color="auto"/>
              <w:right w:val="single" w:sz="4" w:space="0" w:color="auto"/>
            </w:tcBorders>
            <w:shd w:val="clear" w:color="auto" w:fill="auto"/>
            <w:noWrap/>
            <w:vAlign w:val="center"/>
            <w:hideMark/>
          </w:tcPr>
          <w:p w14:paraId="0334A400" w14:textId="77777777" w:rsidR="00676E4B" w:rsidRPr="0022239E" w:rsidRDefault="00676E4B" w:rsidP="00890082">
            <w:pPr>
              <w:jc w:val="center"/>
              <w:rPr>
                <w:color w:val="000000"/>
                <w:sz w:val="22"/>
                <w:szCs w:val="22"/>
                <w:lang w:eastAsia="en-GB"/>
              </w:rPr>
            </w:pPr>
            <w:r w:rsidRPr="0022239E">
              <w:rPr>
                <w:color w:val="000000"/>
                <w:sz w:val="22"/>
                <w:szCs w:val="22"/>
                <w:lang w:eastAsia="en-GB"/>
              </w:rPr>
              <w:t>4.</w:t>
            </w:r>
            <w:r>
              <w:rPr>
                <w:color w:val="000000"/>
                <w:sz w:val="22"/>
                <w:szCs w:val="22"/>
                <w:lang w:eastAsia="en-GB"/>
              </w:rPr>
              <w:t>2</w:t>
            </w:r>
            <w:r w:rsidRPr="0022239E">
              <w:rPr>
                <w:color w:val="000000"/>
                <w:sz w:val="22"/>
                <w:szCs w:val="22"/>
                <w:lang w:eastAsia="en-GB"/>
              </w:rPr>
              <w:t>%</w:t>
            </w:r>
          </w:p>
        </w:tc>
      </w:tr>
      <w:tr w:rsidR="00676E4B" w:rsidRPr="0022239E" w14:paraId="59D6AF06" w14:textId="77777777" w:rsidTr="00890082">
        <w:trPr>
          <w:trHeight w:val="300"/>
        </w:trPr>
        <w:tc>
          <w:tcPr>
            <w:tcW w:w="2417" w:type="dxa"/>
            <w:tcBorders>
              <w:top w:val="nil"/>
              <w:left w:val="single" w:sz="4" w:space="0" w:color="auto"/>
              <w:bottom w:val="single" w:sz="4" w:space="0" w:color="auto"/>
              <w:right w:val="single" w:sz="4" w:space="0" w:color="auto"/>
            </w:tcBorders>
            <w:shd w:val="clear" w:color="auto" w:fill="auto"/>
            <w:noWrap/>
            <w:vAlign w:val="center"/>
            <w:hideMark/>
          </w:tcPr>
          <w:p w14:paraId="0D3B7612" w14:textId="77777777" w:rsidR="00676E4B" w:rsidRPr="0022239E" w:rsidRDefault="00676E4B" w:rsidP="00890082">
            <w:pPr>
              <w:rPr>
                <w:color w:val="000000"/>
                <w:sz w:val="22"/>
                <w:szCs w:val="22"/>
                <w:lang w:eastAsia="en-GB"/>
              </w:rPr>
            </w:pPr>
            <w:r w:rsidRPr="0022239E">
              <w:rPr>
                <w:color w:val="000000"/>
                <w:sz w:val="22"/>
                <w:szCs w:val="22"/>
                <w:lang w:eastAsia="en-GB"/>
              </w:rPr>
              <w:t>Pinner</w:t>
            </w:r>
          </w:p>
        </w:tc>
        <w:tc>
          <w:tcPr>
            <w:tcW w:w="2148" w:type="dxa"/>
            <w:tcBorders>
              <w:top w:val="nil"/>
              <w:left w:val="nil"/>
              <w:bottom w:val="single" w:sz="4" w:space="0" w:color="auto"/>
              <w:right w:val="single" w:sz="4" w:space="0" w:color="auto"/>
            </w:tcBorders>
            <w:shd w:val="clear" w:color="auto" w:fill="auto"/>
            <w:noWrap/>
            <w:vAlign w:val="center"/>
            <w:hideMark/>
          </w:tcPr>
          <w:p w14:paraId="3D2D3B19" w14:textId="77777777" w:rsidR="00676E4B" w:rsidRPr="0022239E" w:rsidRDefault="00676E4B" w:rsidP="00890082">
            <w:pPr>
              <w:jc w:val="center"/>
              <w:rPr>
                <w:color w:val="000000"/>
                <w:sz w:val="22"/>
                <w:szCs w:val="22"/>
                <w:lang w:eastAsia="en-GB"/>
              </w:rPr>
            </w:pPr>
            <w:r>
              <w:rPr>
                <w:color w:val="000000"/>
                <w:sz w:val="22"/>
                <w:szCs w:val="22"/>
                <w:lang w:eastAsia="en-GB"/>
              </w:rPr>
              <w:t>834</w:t>
            </w:r>
          </w:p>
        </w:tc>
        <w:tc>
          <w:tcPr>
            <w:tcW w:w="2503" w:type="dxa"/>
            <w:tcBorders>
              <w:top w:val="nil"/>
              <w:left w:val="nil"/>
              <w:bottom w:val="single" w:sz="4" w:space="0" w:color="auto"/>
              <w:right w:val="single" w:sz="4" w:space="0" w:color="auto"/>
            </w:tcBorders>
            <w:shd w:val="clear" w:color="auto" w:fill="auto"/>
            <w:noWrap/>
            <w:vAlign w:val="center"/>
            <w:hideMark/>
          </w:tcPr>
          <w:p w14:paraId="0B410E85" w14:textId="77777777" w:rsidR="00676E4B" w:rsidRPr="0022239E" w:rsidRDefault="00676E4B" w:rsidP="00890082">
            <w:pPr>
              <w:jc w:val="center"/>
              <w:rPr>
                <w:color w:val="000000"/>
                <w:sz w:val="22"/>
                <w:szCs w:val="22"/>
                <w:lang w:eastAsia="en-GB"/>
              </w:rPr>
            </w:pPr>
            <w:r w:rsidRPr="0022239E">
              <w:rPr>
                <w:color w:val="000000"/>
                <w:sz w:val="22"/>
                <w:szCs w:val="22"/>
                <w:lang w:eastAsia="en-GB"/>
              </w:rPr>
              <w:t>3.</w:t>
            </w:r>
            <w:r>
              <w:rPr>
                <w:color w:val="000000"/>
                <w:sz w:val="22"/>
                <w:szCs w:val="22"/>
                <w:lang w:eastAsia="en-GB"/>
              </w:rPr>
              <w:t>9</w:t>
            </w:r>
            <w:r w:rsidRPr="0022239E">
              <w:rPr>
                <w:color w:val="000000"/>
                <w:sz w:val="22"/>
                <w:szCs w:val="22"/>
                <w:lang w:eastAsia="en-GB"/>
              </w:rPr>
              <w:t>%</w:t>
            </w:r>
          </w:p>
        </w:tc>
      </w:tr>
      <w:tr w:rsidR="00676E4B" w:rsidRPr="0022239E" w14:paraId="3BF09A42" w14:textId="77777777" w:rsidTr="00890082">
        <w:trPr>
          <w:trHeight w:val="300"/>
        </w:trPr>
        <w:tc>
          <w:tcPr>
            <w:tcW w:w="2417" w:type="dxa"/>
            <w:tcBorders>
              <w:top w:val="nil"/>
              <w:left w:val="single" w:sz="4" w:space="0" w:color="auto"/>
              <w:bottom w:val="single" w:sz="4" w:space="0" w:color="auto"/>
              <w:right w:val="single" w:sz="4" w:space="0" w:color="auto"/>
            </w:tcBorders>
            <w:shd w:val="clear" w:color="auto" w:fill="auto"/>
            <w:noWrap/>
            <w:vAlign w:val="center"/>
            <w:hideMark/>
          </w:tcPr>
          <w:p w14:paraId="1C05678D" w14:textId="77777777" w:rsidR="00676E4B" w:rsidRPr="0022239E" w:rsidRDefault="00676E4B" w:rsidP="00890082">
            <w:pPr>
              <w:rPr>
                <w:color w:val="000000"/>
                <w:sz w:val="22"/>
                <w:szCs w:val="22"/>
                <w:lang w:eastAsia="en-GB"/>
              </w:rPr>
            </w:pPr>
            <w:r w:rsidRPr="0022239E">
              <w:rPr>
                <w:color w:val="000000"/>
                <w:sz w:val="22"/>
                <w:szCs w:val="22"/>
                <w:lang w:eastAsia="en-GB"/>
              </w:rPr>
              <w:t>Rayners Lane</w:t>
            </w:r>
          </w:p>
        </w:tc>
        <w:tc>
          <w:tcPr>
            <w:tcW w:w="2148" w:type="dxa"/>
            <w:tcBorders>
              <w:top w:val="nil"/>
              <w:left w:val="nil"/>
              <w:bottom w:val="single" w:sz="4" w:space="0" w:color="auto"/>
              <w:right w:val="single" w:sz="4" w:space="0" w:color="auto"/>
            </w:tcBorders>
            <w:shd w:val="clear" w:color="auto" w:fill="auto"/>
            <w:noWrap/>
            <w:vAlign w:val="center"/>
            <w:hideMark/>
          </w:tcPr>
          <w:p w14:paraId="1662550E" w14:textId="77777777" w:rsidR="00676E4B" w:rsidRPr="0022239E" w:rsidRDefault="00676E4B" w:rsidP="00890082">
            <w:pPr>
              <w:jc w:val="center"/>
              <w:rPr>
                <w:color w:val="000000"/>
                <w:sz w:val="22"/>
                <w:szCs w:val="22"/>
                <w:lang w:eastAsia="en-GB"/>
              </w:rPr>
            </w:pPr>
            <w:r w:rsidRPr="0022239E">
              <w:rPr>
                <w:color w:val="000000"/>
                <w:sz w:val="22"/>
                <w:szCs w:val="22"/>
                <w:lang w:eastAsia="en-GB"/>
              </w:rPr>
              <w:t>8</w:t>
            </w:r>
            <w:r>
              <w:rPr>
                <w:color w:val="000000"/>
                <w:sz w:val="22"/>
                <w:szCs w:val="22"/>
                <w:lang w:eastAsia="en-GB"/>
              </w:rPr>
              <w:t>15</w:t>
            </w:r>
          </w:p>
        </w:tc>
        <w:tc>
          <w:tcPr>
            <w:tcW w:w="2503" w:type="dxa"/>
            <w:tcBorders>
              <w:top w:val="nil"/>
              <w:left w:val="nil"/>
              <w:bottom w:val="single" w:sz="4" w:space="0" w:color="auto"/>
              <w:right w:val="single" w:sz="4" w:space="0" w:color="auto"/>
            </w:tcBorders>
            <w:shd w:val="clear" w:color="auto" w:fill="auto"/>
            <w:noWrap/>
            <w:vAlign w:val="center"/>
            <w:hideMark/>
          </w:tcPr>
          <w:p w14:paraId="5565C2D7" w14:textId="77777777" w:rsidR="00676E4B" w:rsidRPr="0022239E" w:rsidRDefault="00676E4B" w:rsidP="00890082">
            <w:pPr>
              <w:jc w:val="center"/>
              <w:rPr>
                <w:color w:val="000000"/>
                <w:sz w:val="22"/>
                <w:szCs w:val="22"/>
                <w:lang w:eastAsia="en-GB"/>
              </w:rPr>
            </w:pPr>
            <w:r>
              <w:rPr>
                <w:color w:val="000000"/>
                <w:sz w:val="22"/>
                <w:szCs w:val="22"/>
                <w:lang w:eastAsia="en-GB"/>
              </w:rPr>
              <w:t>3.8</w:t>
            </w:r>
            <w:r w:rsidRPr="0022239E">
              <w:rPr>
                <w:color w:val="000000"/>
                <w:sz w:val="22"/>
                <w:szCs w:val="22"/>
                <w:lang w:eastAsia="en-GB"/>
              </w:rPr>
              <w:t>%</w:t>
            </w:r>
          </w:p>
        </w:tc>
      </w:tr>
      <w:tr w:rsidR="00676E4B" w:rsidRPr="0022239E" w14:paraId="71459CBE" w14:textId="77777777" w:rsidTr="00890082">
        <w:trPr>
          <w:trHeight w:val="300"/>
        </w:trPr>
        <w:tc>
          <w:tcPr>
            <w:tcW w:w="2417" w:type="dxa"/>
            <w:tcBorders>
              <w:top w:val="nil"/>
              <w:left w:val="single" w:sz="4" w:space="0" w:color="auto"/>
              <w:bottom w:val="single" w:sz="4" w:space="0" w:color="auto"/>
              <w:right w:val="single" w:sz="4" w:space="0" w:color="auto"/>
            </w:tcBorders>
            <w:shd w:val="clear" w:color="auto" w:fill="auto"/>
            <w:noWrap/>
            <w:vAlign w:val="center"/>
            <w:hideMark/>
          </w:tcPr>
          <w:p w14:paraId="185A9BE3" w14:textId="77777777" w:rsidR="00676E4B" w:rsidRPr="0022239E" w:rsidRDefault="00676E4B" w:rsidP="00890082">
            <w:pPr>
              <w:rPr>
                <w:color w:val="000000"/>
                <w:sz w:val="22"/>
                <w:szCs w:val="22"/>
                <w:lang w:eastAsia="en-GB"/>
              </w:rPr>
            </w:pPr>
            <w:r>
              <w:rPr>
                <w:color w:val="000000"/>
                <w:sz w:val="22"/>
                <w:szCs w:val="22"/>
                <w:lang w:eastAsia="en-GB"/>
              </w:rPr>
              <w:t>West Harrow</w:t>
            </w:r>
          </w:p>
        </w:tc>
        <w:tc>
          <w:tcPr>
            <w:tcW w:w="2148" w:type="dxa"/>
            <w:tcBorders>
              <w:top w:val="nil"/>
              <w:left w:val="nil"/>
              <w:bottom w:val="single" w:sz="4" w:space="0" w:color="auto"/>
              <w:right w:val="single" w:sz="4" w:space="0" w:color="auto"/>
            </w:tcBorders>
            <w:shd w:val="clear" w:color="auto" w:fill="auto"/>
            <w:noWrap/>
            <w:vAlign w:val="center"/>
            <w:hideMark/>
          </w:tcPr>
          <w:p w14:paraId="671B18FF" w14:textId="77777777" w:rsidR="00676E4B" w:rsidRPr="0022239E" w:rsidRDefault="00676E4B" w:rsidP="00890082">
            <w:pPr>
              <w:jc w:val="center"/>
              <w:rPr>
                <w:color w:val="000000"/>
                <w:sz w:val="22"/>
                <w:szCs w:val="22"/>
                <w:lang w:eastAsia="en-GB"/>
              </w:rPr>
            </w:pPr>
            <w:r w:rsidRPr="0022239E">
              <w:rPr>
                <w:color w:val="000000"/>
                <w:sz w:val="22"/>
                <w:szCs w:val="22"/>
                <w:lang w:eastAsia="en-GB"/>
              </w:rPr>
              <w:t>7</w:t>
            </w:r>
            <w:r>
              <w:rPr>
                <w:color w:val="000000"/>
                <w:sz w:val="22"/>
                <w:szCs w:val="22"/>
                <w:lang w:eastAsia="en-GB"/>
              </w:rPr>
              <w:t>73</w:t>
            </w:r>
          </w:p>
        </w:tc>
        <w:tc>
          <w:tcPr>
            <w:tcW w:w="2503" w:type="dxa"/>
            <w:tcBorders>
              <w:top w:val="nil"/>
              <w:left w:val="nil"/>
              <w:bottom w:val="single" w:sz="4" w:space="0" w:color="auto"/>
              <w:right w:val="single" w:sz="4" w:space="0" w:color="auto"/>
            </w:tcBorders>
            <w:shd w:val="clear" w:color="auto" w:fill="auto"/>
            <w:noWrap/>
            <w:vAlign w:val="center"/>
            <w:hideMark/>
          </w:tcPr>
          <w:p w14:paraId="159ADE0F" w14:textId="77777777" w:rsidR="00676E4B" w:rsidRPr="0022239E" w:rsidRDefault="00676E4B" w:rsidP="00890082">
            <w:pPr>
              <w:jc w:val="center"/>
              <w:rPr>
                <w:color w:val="000000"/>
                <w:sz w:val="22"/>
                <w:szCs w:val="22"/>
                <w:lang w:eastAsia="en-GB"/>
              </w:rPr>
            </w:pPr>
            <w:r w:rsidRPr="0022239E">
              <w:rPr>
                <w:color w:val="000000"/>
                <w:sz w:val="22"/>
                <w:szCs w:val="22"/>
                <w:lang w:eastAsia="en-GB"/>
              </w:rPr>
              <w:t>3.6%</w:t>
            </w:r>
          </w:p>
        </w:tc>
      </w:tr>
      <w:tr w:rsidR="00676E4B" w:rsidRPr="0022239E" w14:paraId="271ED4E6" w14:textId="77777777" w:rsidTr="00890082">
        <w:trPr>
          <w:trHeight w:val="300"/>
        </w:trPr>
        <w:tc>
          <w:tcPr>
            <w:tcW w:w="2417" w:type="dxa"/>
            <w:tcBorders>
              <w:top w:val="nil"/>
              <w:left w:val="single" w:sz="4" w:space="0" w:color="auto"/>
              <w:bottom w:val="single" w:sz="4" w:space="0" w:color="auto"/>
              <w:right w:val="single" w:sz="4" w:space="0" w:color="auto"/>
            </w:tcBorders>
            <w:shd w:val="clear" w:color="auto" w:fill="auto"/>
            <w:noWrap/>
            <w:vAlign w:val="center"/>
            <w:hideMark/>
          </w:tcPr>
          <w:p w14:paraId="169B272D" w14:textId="77777777" w:rsidR="00676E4B" w:rsidRPr="0022239E" w:rsidRDefault="00676E4B" w:rsidP="00890082">
            <w:pPr>
              <w:rPr>
                <w:color w:val="000000"/>
                <w:sz w:val="22"/>
                <w:szCs w:val="22"/>
                <w:lang w:eastAsia="en-GB"/>
              </w:rPr>
            </w:pPr>
            <w:r>
              <w:rPr>
                <w:color w:val="000000"/>
                <w:sz w:val="22"/>
                <w:szCs w:val="22"/>
                <w:lang w:eastAsia="en-GB"/>
              </w:rPr>
              <w:t>Roxbourne</w:t>
            </w:r>
          </w:p>
        </w:tc>
        <w:tc>
          <w:tcPr>
            <w:tcW w:w="2148" w:type="dxa"/>
            <w:tcBorders>
              <w:top w:val="nil"/>
              <w:left w:val="nil"/>
              <w:bottom w:val="single" w:sz="4" w:space="0" w:color="auto"/>
              <w:right w:val="single" w:sz="4" w:space="0" w:color="auto"/>
            </w:tcBorders>
            <w:shd w:val="clear" w:color="auto" w:fill="auto"/>
            <w:noWrap/>
            <w:vAlign w:val="center"/>
            <w:hideMark/>
          </w:tcPr>
          <w:p w14:paraId="593AB074" w14:textId="77777777" w:rsidR="00676E4B" w:rsidRPr="0022239E" w:rsidRDefault="00676E4B" w:rsidP="00890082">
            <w:pPr>
              <w:jc w:val="center"/>
              <w:rPr>
                <w:color w:val="000000"/>
                <w:sz w:val="22"/>
                <w:szCs w:val="22"/>
                <w:lang w:eastAsia="en-GB"/>
              </w:rPr>
            </w:pPr>
            <w:r w:rsidRPr="0022239E">
              <w:rPr>
                <w:color w:val="000000"/>
                <w:sz w:val="22"/>
                <w:szCs w:val="22"/>
                <w:lang w:eastAsia="en-GB"/>
              </w:rPr>
              <w:t>7</w:t>
            </w:r>
            <w:r>
              <w:rPr>
                <w:color w:val="000000"/>
                <w:sz w:val="22"/>
                <w:szCs w:val="22"/>
                <w:lang w:eastAsia="en-GB"/>
              </w:rPr>
              <w:t>69</w:t>
            </w:r>
          </w:p>
        </w:tc>
        <w:tc>
          <w:tcPr>
            <w:tcW w:w="2503" w:type="dxa"/>
            <w:tcBorders>
              <w:top w:val="nil"/>
              <w:left w:val="nil"/>
              <w:bottom w:val="single" w:sz="4" w:space="0" w:color="auto"/>
              <w:right w:val="single" w:sz="4" w:space="0" w:color="auto"/>
            </w:tcBorders>
            <w:shd w:val="clear" w:color="auto" w:fill="auto"/>
            <w:noWrap/>
            <w:vAlign w:val="center"/>
            <w:hideMark/>
          </w:tcPr>
          <w:p w14:paraId="3B903A71" w14:textId="77777777" w:rsidR="00676E4B" w:rsidRPr="0022239E" w:rsidRDefault="00676E4B" w:rsidP="00890082">
            <w:pPr>
              <w:jc w:val="center"/>
              <w:rPr>
                <w:color w:val="000000"/>
                <w:sz w:val="22"/>
                <w:szCs w:val="22"/>
                <w:lang w:eastAsia="en-GB"/>
              </w:rPr>
            </w:pPr>
            <w:r w:rsidRPr="0022239E">
              <w:rPr>
                <w:color w:val="000000"/>
                <w:sz w:val="22"/>
                <w:szCs w:val="22"/>
                <w:lang w:eastAsia="en-GB"/>
              </w:rPr>
              <w:t>3.6%</w:t>
            </w:r>
          </w:p>
        </w:tc>
      </w:tr>
      <w:tr w:rsidR="00676E4B" w:rsidRPr="0022239E" w14:paraId="16D37152" w14:textId="77777777" w:rsidTr="00890082">
        <w:trPr>
          <w:trHeight w:val="300"/>
        </w:trPr>
        <w:tc>
          <w:tcPr>
            <w:tcW w:w="2417" w:type="dxa"/>
            <w:tcBorders>
              <w:top w:val="nil"/>
              <w:left w:val="single" w:sz="4" w:space="0" w:color="auto"/>
              <w:bottom w:val="single" w:sz="4" w:space="0" w:color="auto"/>
              <w:right w:val="single" w:sz="4" w:space="0" w:color="auto"/>
            </w:tcBorders>
            <w:shd w:val="clear" w:color="auto" w:fill="auto"/>
            <w:noWrap/>
            <w:vAlign w:val="center"/>
            <w:hideMark/>
          </w:tcPr>
          <w:p w14:paraId="64DA38D8" w14:textId="77777777" w:rsidR="00676E4B" w:rsidRPr="0022239E" w:rsidRDefault="00676E4B" w:rsidP="00890082">
            <w:pPr>
              <w:rPr>
                <w:color w:val="000000"/>
                <w:sz w:val="22"/>
                <w:szCs w:val="22"/>
                <w:lang w:eastAsia="en-GB"/>
              </w:rPr>
            </w:pPr>
            <w:r w:rsidRPr="0022239E">
              <w:rPr>
                <w:color w:val="000000"/>
                <w:sz w:val="22"/>
                <w:szCs w:val="22"/>
                <w:lang w:eastAsia="en-GB"/>
              </w:rPr>
              <w:t>Kenton West</w:t>
            </w:r>
          </w:p>
        </w:tc>
        <w:tc>
          <w:tcPr>
            <w:tcW w:w="2148" w:type="dxa"/>
            <w:tcBorders>
              <w:top w:val="nil"/>
              <w:left w:val="nil"/>
              <w:bottom w:val="single" w:sz="4" w:space="0" w:color="auto"/>
              <w:right w:val="single" w:sz="4" w:space="0" w:color="auto"/>
            </w:tcBorders>
            <w:shd w:val="clear" w:color="auto" w:fill="auto"/>
            <w:noWrap/>
            <w:vAlign w:val="center"/>
            <w:hideMark/>
          </w:tcPr>
          <w:p w14:paraId="22C3A6A3" w14:textId="77777777" w:rsidR="00676E4B" w:rsidRPr="0022239E" w:rsidRDefault="00676E4B" w:rsidP="00890082">
            <w:pPr>
              <w:jc w:val="center"/>
              <w:rPr>
                <w:color w:val="000000"/>
                <w:sz w:val="22"/>
                <w:szCs w:val="22"/>
                <w:lang w:eastAsia="en-GB"/>
              </w:rPr>
            </w:pPr>
            <w:r>
              <w:rPr>
                <w:color w:val="000000"/>
                <w:sz w:val="22"/>
                <w:szCs w:val="22"/>
                <w:lang w:eastAsia="en-GB"/>
              </w:rPr>
              <w:t>714</w:t>
            </w:r>
          </w:p>
        </w:tc>
        <w:tc>
          <w:tcPr>
            <w:tcW w:w="2503" w:type="dxa"/>
            <w:tcBorders>
              <w:top w:val="nil"/>
              <w:left w:val="nil"/>
              <w:bottom w:val="single" w:sz="4" w:space="0" w:color="auto"/>
              <w:right w:val="single" w:sz="4" w:space="0" w:color="auto"/>
            </w:tcBorders>
            <w:shd w:val="clear" w:color="auto" w:fill="auto"/>
            <w:noWrap/>
            <w:vAlign w:val="center"/>
            <w:hideMark/>
          </w:tcPr>
          <w:p w14:paraId="46DC91D5" w14:textId="77777777" w:rsidR="00676E4B" w:rsidRPr="0022239E" w:rsidRDefault="00676E4B" w:rsidP="00890082">
            <w:pPr>
              <w:jc w:val="center"/>
              <w:rPr>
                <w:color w:val="000000"/>
                <w:sz w:val="22"/>
                <w:szCs w:val="22"/>
                <w:lang w:eastAsia="en-GB"/>
              </w:rPr>
            </w:pPr>
            <w:r w:rsidRPr="0022239E">
              <w:rPr>
                <w:color w:val="000000"/>
                <w:sz w:val="22"/>
                <w:szCs w:val="22"/>
                <w:lang w:eastAsia="en-GB"/>
              </w:rPr>
              <w:t>3.</w:t>
            </w:r>
            <w:r>
              <w:rPr>
                <w:color w:val="000000"/>
                <w:sz w:val="22"/>
                <w:szCs w:val="22"/>
                <w:lang w:eastAsia="en-GB"/>
              </w:rPr>
              <w:t>3</w:t>
            </w:r>
            <w:r w:rsidRPr="0022239E">
              <w:rPr>
                <w:color w:val="000000"/>
                <w:sz w:val="22"/>
                <w:szCs w:val="22"/>
                <w:lang w:eastAsia="en-GB"/>
              </w:rPr>
              <w:t>%</w:t>
            </w:r>
          </w:p>
        </w:tc>
      </w:tr>
      <w:tr w:rsidR="00676E4B" w:rsidRPr="0022239E" w14:paraId="295EFDFE" w14:textId="77777777" w:rsidTr="00890082">
        <w:trPr>
          <w:trHeight w:val="300"/>
        </w:trPr>
        <w:tc>
          <w:tcPr>
            <w:tcW w:w="2417" w:type="dxa"/>
            <w:tcBorders>
              <w:top w:val="nil"/>
              <w:left w:val="single" w:sz="4" w:space="0" w:color="auto"/>
              <w:bottom w:val="single" w:sz="4" w:space="0" w:color="auto"/>
              <w:right w:val="single" w:sz="4" w:space="0" w:color="auto"/>
            </w:tcBorders>
            <w:shd w:val="clear" w:color="auto" w:fill="auto"/>
            <w:noWrap/>
            <w:vAlign w:val="center"/>
            <w:hideMark/>
          </w:tcPr>
          <w:p w14:paraId="48AF2191" w14:textId="77777777" w:rsidR="00676E4B" w:rsidRPr="0022239E" w:rsidRDefault="00676E4B" w:rsidP="00890082">
            <w:pPr>
              <w:rPr>
                <w:color w:val="000000"/>
                <w:sz w:val="22"/>
                <w:szCs w:val="22"/>
                <w:lang w:eastAsia="en-GB"/>
              </w:rPr>
            </w:pPr>
            <w:r w:rsidRPr="0022239E">
              <w:rPr>
                <w:color w:val="000000"/>
                <w:sz w:val="22"/>
                <w:szCs w:val="22"/>
                <w:lang w:eastAsia="en-GB"/>
              </w:rPr>
              <w:t>Belmont</w:t>
            </w:r>
          </w:p>
        </w:tc>
        <w:tc>
          <w:tcPr>
            <w:tcW w:w="2148" w:type="dxa"/>
            <w:tcBorders>
              <w:top w:val="nil"/>
              <w:left w:val="nil"/>
              <w:bottom w:val="single" w:sz="4" w:space="0" w:color="auto"/>
              <w:right w:val="single" w:sz="4" w:space="0" w:color="auto"/>
            </w:tcBorders>
            <w:shd w:val="clear" w:color="auto" w:fill="auto"/>
            <w:noWrap/>
            <w:vAlign w:val="center"/>
            <w:hideMark/>
          </w:tcPr>
          <w:p w14:paraId="01A79C29" w14:textId="77777777" w:rsidR="00676E4B" w:rsidRPr="0022239E" w:rsidRDefault="00676E4B" w:rsidP="00890082">
            <w:pPr>
              <w:jc w:val="center"/>
              <w:rPr>
                <w:color w:val="000000"/>
                <w:sz w:val="22"/>
                <w:szCs w:val="22"/>
                <w:lang w:eastAsia="en-GB"/>
              </w:rPr>
            </w:pPr>
            <w:r w:rsidRPr="0022239E">
              <w:rPr>
                <w:color w:val="000000"/>
                <w:sz w:val="22"/>
                <w:szCs w:val="22"/>
                <w:lang w:eastAsia="en-GB"/>
              </w:rPr>
              <w:t>71</w:t>
            </w:r>
            <w:r>
              <w:rPr>
                <w:color w:val="000000"/>
                <w:sz w:val="22"/>
                <w:szCs w:val="22"/>
                <w:lang w:eastAsia="en-GB"/>
              </w:rPr>
              <w:t>2</w:t>
            </w:r>
          </w:p>
        </w:tc>
        <w:tc>
          <w:tcPr>
            <w:tcW w:w="2503" w:type="dxa"/>
            <w:tcBorders>
              <w:top w:val="nil"/>
              <w:left w:val="nil"/>
              <w:bottom w:val="single" w:sz="4" w:space="0" w:color="auto"/>
              <w:right w:val="single" w:sz="4" w:space="0" w:color="auto"/>
            </w:tcBorders>
            <w:shd w:val="clear" w:color="auto" w:fill="auto"/>
            <w:noWrap/>
            <w:vAlign w:val="center"/>
            <w:hideMark/>
          </w:tcPr>
          <w:p w14:paraId="161E7443" w14:textId="77777777" w:rsidR="00676E4B" w:rsidRPr="0022239E" w:rsidRDefault="00676E4B" w:rsidP="00890082">
            <w:pPr>
              <w:jc w:val="center"/>
              <w:rPr>
                <w:color w:val="000000"/>
                <w:sz w:val="22"/>
                <w:szCs w:val="22"/>
                <w:lang w:eastAsia="en-GB"/>
              </w:rPr>
            </w:pPr>
            <w:r w:rsidRPr="0022239E">
              <w:rPr>
                <w:color w:val="000000"/>
                <w:sz w:val="22"/>
                <w:szCs w:val="22"/>
                <w:lang w:eastAsia="en-GB"/>
              </w:rPr>
              <w:t>3.</w:t>
            </w:r>
            <w:r>
              <w:rPr>
                <w:color w:val="000000"/>
                <w:sz w:val="22"/>
                <w:szCs w:val="22"/>
                <w:lang w:eastAsia="en-GB"/>
              </w:rPr>
              <w:t>3</w:t>
            </w:r>
            <w:r w:rsidRPr="0022239E">
              <w:rPr>
                <w:color w:val="000000"/>
                <w:sz w:val="22"/>
                <w:szCs w:val="22"/>
                <w:lang w:eastAsia="en-GB"/>
              </w:rPr>
              <w:t>%</w:t>
            </w:r>
          </w:p>
        </w:tc>
      </w:tr>
      <w:tr w:rsidR="00676E4B" w:rsidRPr="0022239E" w14:paraId="44C59B21" w14:textId="77777777" w:rsidTr="00890082">
        <w:trPr>
          <w:trHeight w:val="300"/>
        </w:trPr>
        <w:tc>
          <w:tcPr>
            <w:tcW w:w="2417" w:type="dxa"/>
            <w:tcBorders>
              <w:top w:val="nil"/>
              <w:left w:val="single" w:sz="4" w:space="0" w:color="auto"/>
              <w:bottom w:val="single" w:sz="4" w:space="0" w:color="auto"/>
              <w:right w:val="single" w:sz="4" w:space="0" w:color="auto"/>
            </w:tcBorders>
            <w:shd w:val="clear" w:color="auto" w:fill="auto"/>
            <w:noWrap/>
            <w:vAlign w:val="center"/>
            <w:hideMark/>
          </w:tcPr>
          <w:p w14:paraId="3C42BB79" w14:textId="77777777" w:rsidR="00676E4B" w:rsidRPr="0022239E" w:rsidRDefault="00676E4B" w:rsidP="00890082">
            <w:pPr>
              <w:rPr>
                <w:color w:val="000000"/>
                <w:sz w:val="22"/>
                <w:szCs w:val="22"/>
                <w:lang w:eastAsia="en-GB"/>
              </w:rPr>
            </w:pPr>
            <w:r>
              <w:rPr>
                <w:color w:val="000000"/>
                <w:sz w:val="22"/>
                <w:szCs w:val="22"/>
                <w:lang w:eastAsia="en-GB"/>
              </w:rPr>
              <w:t>Wealdstone South</w:t>
            </w:r>
          </w:p>
        </w:tc>
        <w:tc>
          <w:tcPr>
            <w:tcW w:w="2148" w:type="dxa"/>
            <w:tcBorders>
              <w:top w:val="nil"/>
              <w:left w:val="nil"/>
              <w:bottom w:val="single" w:sz="4" w:space="0" w:color="auto"/>
              <w:right w:val="single" w:sz="4" w:space="0" w:color="auto"/>
            </w:tcBorders>
            <w:shd w:val="clear" w:color="auto" w:fill="auto"/>
            <w:noWrap/>
            <w:vAlign w:val="center"/>
            <w:hideMark/>
          </w:tcPr>
          <w:p w14:paraId="671EEA02" w14:textId="77777777" w:rsidR="00676E4B" w:rsidRPr="0022239E" w:rsidRDefault="00676E4B" w:rsidP="00890082">
            <w:pPr>
              <w:jc w:val="center"/>
              <w:rPr>
                <w:color w:val="000000"/>
                <w:sz w:val="22"/>
                <w:szCs w:val="22"/>
                <w:lang w:eastAsia="en-GB"/>
              </w:rPr>
            </w:pPr>
            <w:r w:rsidRPr="0022239E">
              <w:rPr>
                <w:color w:val="000000"/>
                <w:sz w:val="22"/>
                <w:szCs w:val="22"/>
                <w:lang w:eastAsia="en-GB"/>
              </w:rPr>
              <w:t>6</w:t>
            </w:r>
            <w:r>
              <w:rPr>
                <w:color w:val="000000"/>
                <w:sz w:val="22"/>
                <w:szCs w:val="22"/>
                <w:lang w:eastAsia="en-GB"/>
              </w:rPr>
              <w:t>86</w:t>
            </w:r>
          </w:p>
        </w:tc>
        <w:tc>
          <w:tcPr>
            <w:tcW w:w="2503" w:type="dxa"/>
            <w:tcBorders>
              <w:top w:val="nil"/>
              <w:left w:val="nil"/>
              <w:bottom w:val="single" w:sz="4" w:space="0" w:color="auto"/>
              <w:right w:val="single" w:sz="4" w:space="0" w:color="auto"/>
            </w:tcBorders>
            <w:shd w:val="clear" w:color="auto" w:fill="auto"/>
            <w:noWrap/>
            <w:vAlign w:val="center"/>
            <w:hideMark/>
          </w:tcPr>
          <w:p w14:paraId="2804372E" w14:textId="77777777" w:rsidR="00676E4B" w:rsidRPr="0022239E" w:rsidRDefault="00676E4B" w:rsidP="00890082">
            <w:pPr>
              <w:jc w:val="center"/>
              <w:rPr>
                <w:color w:val="000000"/>
                <w:sz w:val="22"/>
                <w:szCs w:val="22"/>
                <w:lang w:eastAsia="en-GB"/>
              </w:rPr>
            </w:pPr>
            <w:r w:rsidRPr="0022239E">
              <w:rPr>
                <w:color w:val="000000"/>
                <w:sz w:val="22"/>
                <w:szCs w:val="22"/>
                <w:lang w:eastAsia="en-GB"/>
              </w:rPr>
              <w:t>3.2%</w:t>
            </w:r>
          </w:p>
        </w:tc>
      </w:tr>
      <w:tr w:rsidR="00676E4B" w:rsidRPr="0022239E" w14:paraId="0075D5E0" w14:textId="77777777" w:rsidTr="00890082">
        <w:trPr>
          <w:trHeight w:val="300"/>
        </w:trPr>
        <w:tc>
          <w:tcPr>
            <w:tcW w:w="2417" w:type="dxa"/>
            <w:tcBorders>
              <w:top w:val="nil"/>
              <w:left w:val="single" w:sz="4" w:space="0" w:color="auto"/>
              <w:bottom w:val="single" w:sz="4" w:space="0" w:color="auto"/>
              <w:right w:val="single" w:sz="4" w:space="0" w:color="auto"/>
            </w:tcBorders>
            <w:shd w:val="clear" w:color="auto" w:fill="auto"/>
            <w:noWrap/>
            <w:vAlign w:val="center"/>
            <w:hideMark/>
          </w:tcPr>
          <w:p w14:paraId="6BDD1C66" w14:textId="77777777" w:rsidR="00676E4B" w:rsidRPr="0022239E" w:rsidRDefault="00676E4B" w:rsidP="00890082">
            <w:pPr>
              <w:rPr>
                <w:color w:val="000000"/>
                <w:sz w:val="22"/>
                <w:szCs w:val="22"/>
                <w:lang w:eastAsia="en-GB"/>
              </w:rPr>
            </w:pPr>
            <w:r>
              <w:rPr>
                <w:color w:val="000000"/>
                <w:sz w:val="22"/>
                <w:szCs w:val="22"/>
                <w:lang w:eastAsia="en-GB"/>
              </w:rPr>
              <w:t>North Harrow</w:t>
            </w:r>
          </w:p>
        </w:tc>
        <w:tc>
          <w:tcPr>
            <w:tcW w:w="2148" w:type="dxa"/>
            <w:tcBorders>
              <w:top w:val="nil"/>
              <w:left w:val="nil"/>
              <w:bottom w:val="single" w:sz="4" w:space="0" w:color="auto"/>
              <w:right w:val="single" w:sz="4" w:space="0" w:color="auto"/>
            </w:tcBorders>
            <w:shd w:val="clear" w:color="auto" w:fill="auto"/>
            <w:noWrap/>
            <w:vAlign w:val="center"/>
            <w:hideMark/>
          </w:tcPr>
          <w:p w14:paraId="1C9765F9" w14:textId="77777777" w:rsidR="00676E4B" w:rsidRPr="0022239E" w:rsidRDefault="00676E4B" w:rsidP="00890082">
            <w:pPr>
              <w:jc w:val="center"/>
              <w:rPr>
                <w:color w:val="000000"/>
                <w:sz w:val="22"/>
                <w:szCs w:val="22"/>
                <w:lang w:eastAsia="en-GB"/>
              </w:rPr>
            </w:pPr>
            <w:r w:rsidRPr="0022239E">
              <w:rPr>
                <w:color w:val="000000"/>
                <w:sz w:val="22"/>
                <w:szCs w:val="22"/>
                <w:lang w:eastAsia="en-GB"/>
              </w:rPr>
              <w:t>6</w:t>
            </w:r>
            <w:r>
              <w:rPr>
                <w:color w:val="000000"/>
                <w:sz w:val="22"/>
                <w:szCs w:val="22"/>
                <w:lang w:eastAsia="en-GB"/>
              </w:rPr>
              <w:t>85</w:t>
            </w:r>
          </w:p>
        </w:tc>
        <w:tc>
          <w:tcPr>
            <w:tcW w:w="2503" w:type="dxa"/>
            <w:tcBorders>
              <w:top w:val="nil"/>
              <w:left w:val="nil"/>
              <w:bottom w:val="single" w:sz="4" w:space="0" w:color="auto"/>
              <w:right w:val="single" w:sz="4" w:space="0" w:color="auto"/>
            </w:tcBorders>
            <w:shd w:val="clear" w:color="auto" w:fill="auto"/>
            <w:noWrap/>
            <w:vAlign w:val="center"/>
            <w:hideMark/>
          </w:tcPr>
          <w:p w14:paraId="772FD11A" w14:textId="77777777" w:rsidR="00676E4B" w:rsidRPr="0022239E" w:rsidRDefault="00676E4B" w:rsidP="00890082">
            <w:pPr>
              <w:jc w:val="center"/>
              <w:rPr>
                <w:color w:val="000000"/>
                <w:sz w:val="22"/>
                <w:szCs w:val="22"/>
                <w:lang w:eastAsia="en-GB"/>
              </w:rPr>
            </w:pPr>
            <w:r w:rsidRPr="0022239E">
              <w:rPr>
                <w:color w:val="000000"/>
                <w:sz w:val="22"/>
                <w:szCs w:val="22"/>
                <w:lang w:eastAsia="en-GB"/>
              </w:rPr>
              <w:t>3.</w:t>
            </w:r>
            <w:r>
              <w:rPr>
                <w:color w:val="000000"/>
                <w:sz w:val="22"/>
                <w:szCs w:val="22"/>
                <w:lang w:eastAsia="en-GB"/>
              </w:rPr>
              <w:t>2</w:t>
            </w:r>
            <w:r w:rsidRPr="0022239E">
              <w:rPr>
                <w:color w:val="000000"/>
                <w:sz w:val="22"/>
                <w:szCs w:val="22"/>
                <w:lang w:eastAsia="en-GB"/>
              </w:rPr>
              <w:t>%</w:t>
            </w:r>
          </w:p>
        </w:tc>
      </w:tr>
      <w:tr w:rsidR="00676E4B" w:rsidRPr="0022239E" w14:paraId="455AABB5" w14:textId="77777777" w:rsidTr="00890082">
        <w:trPr>
          <w:trHeight w:val="300"/>
        </w:trPr>
        <w:tc>
          <w:tcPr>
            <w:tcW w:w="2417" w:type="dxa"/>
            <w:tcBorders>
              <w:top w:val="nil"/>
              <w:left w:val="single" w:sz="4" w:space="0" w:color="auto"/>
              <w:bottom w:val="single" w:sz="4" w:space="0" w:color="auto"/>
              <w:right w:val="single" w:sz="4" w:space="0" w:color="auto"/>
            </w:tcBorders>
            <w:shd w:val="clear" w:color="auto" w:fill="auto"/>
            <w:noWrap/>
            <w:vAlign w:val="center"/>
            <w:hideMark/>
          </w:tcPr>
          <w:p w14:paraId="439A9691" w14:textId="77777777" w:rsidR="00676E4B" w:rsidRPr="0022239E" w:rsidRDefault="00676E4B" w:rsidP="00890082">
            <w:pPr>
              <w:rPr>
                <w:color w:val="000000"/>
                <w:sz w:val="22"/>
                <w:szCs w:val="22"/>
                <w:lang w:eastAsia="en-GB"/>
              </w:rPr>
            </w:pPr>
            <w:r w:rsidRPr="0022239E">
              <w:rPr>
                <w:color w:val="000000"/>
                <w:sz w:val="22"/>
                <w:szCs w:val="22"/>
                <w:lang w:eastAsia="en-GB"/>
              </w:rPr>
              <w:t>Stanmore</w:t>
            </w:r>
          </w:p>
        </w:tc>
        <w:tc>
          <w:tcPr>
            <w:tcW w:w="2148" w:type="dxa"/>
            <w:tcBorders>
              <w:top w:val="nil"/>
              <w:left w:val="nil"/>
              <w:bottom w:val="single" w:sz="4" w:space="0" w:color="auto"/>
              <w:right w:val="single" w:sz="4" w:space="0" w:color="auto"/>
            </w:tcBorders>
            <w:shd w:val="clear" w:color="auto" w:fill="auto"/>
            <w:noWrap/>
            <w:vAlign w:val="center"/>
            <w:hideMark/>
          </w:tcPr>
          <w:p w14:paraId="1C8F0841" w14:textId="77777777" w:rsidR="00676E4B" w:rsidRPr="0022239E" w:rsidRDefault="00676E4B" w:rsidP="00890082">
            <w:pPr>
              <w:jc w:val="center"/>
              <w:rPr>
                <w:color w:val="000000"/>
                <w:sz w:val="22"/>
                <w:szCs w:val="22"/>
                <w:lang w:eastAsia="en-GB"/>
              </w:rPr>
            </w:pPr>
            <w:r w:rsidRPr="0022239E">
              <w:rPr>
                <w:color w:val="000000"/>
                <w:sz w:val="22"/>
                <w:szCs w:val="22"/>
                <w:lang w:eastAsia="en-GB"/>
              </w:rPr>
              <w:t>65</w:t>
            </w:r>
            <w:r>
              <w:rPr>
                <w:color w:val="000000"/>
                <w:sz w:val="22"/>
                <w:szCs w:val="22"/>
                <w:lang w:eastAsia="en-GB"/>
              </w:rPr>
              <w:t>0</w:t>
            </w:r>
          </w:p>
        </w:tc>
        <w:tc>
          <w:tcPr>
            <w:tcW w:w="2503" w:type="dxa"/>
            <w:tcBorders>
              <w:top w:val="nil"/>
              <w:left w:val="nil"/>
              <w:bottom w:val="single" w:sz="4" w:space="0" w:color="auto"/>
              <w:right w:val="single" w:sz="4" w:space="0" w:color="auto"/>
            </w:tcBorders>
            <w:shd w:val="clear" w:color="auto" w:fill="auto"/>
            <w:noWrap/>
            <w:vAlign w:val="center"/>
            <w:hideMark/>
          </w:tcPr>
          <w:p w14:paraId="363C60CF" w14:textId="77777777" w:rsidR="00676E4B" w:rsidRPr="0022239E" w:rsidRDefault="00676E4B" w:rsidP="00890082">
            <w:pPr>
              <w:jc w:val="center"/>
              <w:rPr>
                <w:color w:val="000000"/>
                <w:sz w:val="22"/>
                <w:szCs w:val="22"/>
                <w:lang w:eastAsia="en-GB"/>
              </w:rPr>
            </w:pPr>
            <w:r w:rsidRPr="0022239E">
              <w:rPr>
                <w:color w:val="000000"/>
                <w:sz w:val="22"/>
                <w:szCs w:val="22"/>
                <w:lang w:eastAsia="en-GB"/>
              </w:rPr>
              <w:t>3.</w:t>
            </w:r>
            <w:r>
              <w:rPr>
                <w:color w:val="000000"/>
                <w:sz w:val="22"/>
                <w:szCs w:val="22"/>
                <w:lang w:eastAsia="en-GB"/>
              </w:rPr>
              <w:t>0</w:t>
            </w:r>
            <w:r w:rsidRPr="0022239E">
              <w:rPr>
                <w:color w:val="000000"/>
                <w:sz w:val="22"/>
                <w:szCs w:val="22"/>
                <w:lang w:eastAsia="en-GB"/>
              </w:rPr>
              <w:t>%</w:t>
            </w:r>
          </w:p>
        </w:tc>
      </w:tr>
      <w:tr w:rsidR="00676E4B" w:rsidRPr="0022239E" w14:paraId="6A6E3EA9" w14:textId="77777777" w:rsidTr="00890082">
        <w:trPr>
          <w:trHeight w:val="300"/>
        </w:trPr>
        <w:tc>
          <w:tcPr>
            <w:tcW w:w="2417" w:type="dxa"/>
            <w:tcBorders>
              <w:top w:val="nil"/>
              <w:left w:val="single" w:sz="4" w:space="0" w:color="auto"/>
              <w:bottom w:val="single" w:sz="4" w:space="0" w:color="auto"/>
              <w:right w:val="single" w:sz="4" w:space="0" w:color="auto"/>
            </w:tcBorders>
            <w:shd w:val="clear" w:color="auto" w:fill="auto"/>
            <w:noWrap/>
            <w:vAlign w:val="center"/>
            <w:hideMark/>
          </w:tcPr>
          <w:p w14:paraId="427A15AC" w14:textId="77777777" w:rsidR="00676E4B" w:rsidRPr="0022239E" w:rsidRDefault="00676E4B" w:rsidP="00890082">
            <w:pPr>
              <w:rPr>
                <w:color w:val="000000"/>
                <w:sz w:val="22"/>
                <w:szCs w:val="22"/>
                <w:lang w:eastAsia="en-GB"/>
              </w:rPr>
            </w:pPr>
            <w:r w:rsidRPr="0022239E">
              <w:rPr>
                <w:color w:val="000000"/>
                <w:sz w:val="22"/>
                <w:szCs w:val="22"/>
                <w:lang w:eastAsia="en-GB"/>
              </w:rPr>
              <w:t>Hatch End</w:t>
            </w:r>
          </w:p>
        </w:tc>
        <w:tc>
          <w:tcPr>
            <w:tcW w:w="2148" w:type="dxa"/>
            <w:tcBorders>
              <w:top w:val="nil"/>
              <w:left w:val="nil"/>
              <w:bottom w:val="single" w:sz="4" w:space="0" w:color="auto"/>
              <w:right w:val="single" w:sz="4" w:space="0" w:color="auto"/>
            </w:tcBorders>
            <w:shd w:val="clear" w:color="auto" w:fill="auto"/>
            <w:noWrap/>
            <w:vAlign w:val="center"/>
            <w:hideMark/>
          </w:tcPr>
          <w:p w14:paraId="609E35EF" w14:textId="77777777" w:rsidR="00676E4B" w:rsidRPr="0022239E" w:rsidRDefault="00676E4B" w:rsidP="00890082">
            <w:pPr>
              <w:jc w:val="center"/>
              <w:rPr>
                <w:color w:val="000000"/>
                <w:sz w:val="22"/>
                <w:szCs w:val="22"/>
                <w:lang w:eastAsia="en-GB"/>
              </w:rPr>
            </w:pPr>
            <w:r>
              <w:rPr>
                <w:color w:val="000000"/>
                <w:sz w:val="22"/>
                <w:szCs w:val="22"/>
                <w:lang w:eastAsia="en-GB"/>
              </w:rPr>
              <w:t>624</w:t>
            </w:r>
          </w:p>
        </w:tc>
        <w:tc>
          <w:tcPr>
            <w:tcW w:w="2503" w:type="dxa"/>
            <w:tcBorders>
              <w:top w:val="nil"/>
              <w:left w:val="nil"/>
              <w:bottom w:val="single" w:sz="4" w:space="0" w:color="auto"/>
              <w:right w:val="single" w:sz="4" w:space="0" w:color="auto"/>
            </w:tcBorders>
            <w:shd w:val="clear" w:color="auto" w:fill="auto"/>
            <w:noWrap/>
            <w:vAlign w:val="center"/>
            <w:hideMark/>
          </w:tcPr>
          <w:p w14:paraId="3087F27C" w14:textId="77777777" w:rsidR="00676E4B" w:rsidRPr="0022239E" w:rsidRDefault="00676E4B" w:rsidP="00890082">
            <w:pPr>
              <w:jc w:val="center"/>
              <w:rPr>
                <w:color w:val="000000"/>
                <w:sz w:val="22"/>
                <w:szCs w:val="22"/>
                <w:lang w:eastAsia="en-GB"/>
              </w:rPr>
            </w:pPr>
            <w:r w:rsidRPr="0022239E">
              <w:rPr>
                <w:color w:val="000000"/>
                <w:sz w:val="22"/>
                <w:szCs w:val="22"/>
                <w:lang w:eastAsia="en-GB"/>
              </w:rPr>
              <w:t>2.</w:t>
            </w:r>
            <w:r>
              <w:rPr>
                <w:color w:val="000000"/>
                <w:sz w:val="22"/>
                <w:szCs w:val="22"/>
                <w:lang w:eastAsia="en-GB"/>
              </w:rPr>
              <w:t>9</w:t>
            </w:r>
            <w:r w:rsidRPr="0022239E">
              <w:rPr>
                <w:color w:val="000000"/>
                <w:sz w:val="22"/>
                <w:szCs w:val="22"/>
                <w:lang w:eastAsia="en-GB"/>
              </w:rPr>
              <w:t>%</w:t>
            </w:r>
          </w:p>
        </w:tc>
      </w:tr>
      <w:tr w:rsidR="00676E4B" w:rsidRPr="0022239E" w14:paraId="3027C1E0" w14:textId="77777777" w:rsidTr="00890082">
        <w:trPr>
          <w:trHeight w:val="300"/>
        </w:trPr>
        <w:tc>
          <w:tcPr>
            <w:tcW w:w="2417" w:type="dxa"/>
            <w:tcBorders>
              <w:top w:val="nil"/>
              <w:left w:val="single" w:sz="4" w:space="0" w:color="auto"/>
              <w:bottom w:val="single" w:sz="4" w:space="0" w:color="auto"/>
              <w:right w:val="single" w:sz="4" w:space="0" w:color="auto"/>
            </w:tcBorders>
            <w:shd w:val="clear" w:color="auto" w:fill="auto"/>
            <w:noWrap/>
            <w:vAlign w:val="center"/>
            <w:hideMark/>
          </w:tcPr>
          <w:p w14:paraId="2266BB67" w14:textId="77777777" w:rsidR="00676E4B" w:rsidRPr="0022239E" w:rsidRDefault="00676E4B" w:rsidP="00890082">
            <w:pPr>
              <w:rPr>
                <w:color w:val="000000"/>
                <w:sz w:val="22"/>
                <w:szCs w:val="22"/>
                <w:lang w:eastAsia="en-GB"/>
              </w:rPr>
            </w:pPr>
            <w:r w:rsidRPr="0022239E">
              <w:rPr>
                <w:color w:val="000000"/>
                <w:sz w:val="22"/>
                <w:szCs w:val="22"/>
                <w:lang w:eastAsia="en-GB"/>
              </w:rPr>
              <w:t>Harrow on the Hill</w:t>
            </w:r>
          </w:p>
        </w:tc>
        <w:tc>
          <w:tcPr>
            <w:tcW w:w="2148" w:type="dxa"/>
            <w:tcBorders>
              <w:top w:val="nil"/>
              <w:left w:val="nil"/>
              <w:bottom w:val="single" w:sz="4" w:space="0" w:color="auto"/>
              <w:right w:val="single" w:sz="4" w:space="0" w:color="auto"/>
            </w:tcBorders>
            <w:shd w:val="clear" w:color="auto" w:fill="auto"/>
            <w:noWrap/>
            <w:vAlign w:val="center"/>
            <w:hideMark/>
          </w:tcPr>
          <w:p w14:paraId="5A30285F" w14:textId="77777777" w:rsidR="00676E4B" w:rsidRPr="0022239E" w:rsidRDefault="00676E4B" w:rsidP="00890082">
            <w:pPr>
              <w:jc w:val="center"/>
              <w:rPr>
                <w:color w:val="000000"/>
                <w:sz w:val="22"/>
                <w:szCs w:val="22"/>
                <w:lang w:eastAsia="en-GB"/>
              </w:rPr>
            </w:pPr>
            <w:r w:rsidRPr="0022239E">
              <w:rPr>
                <w:color w:val="000000"/>
                <w:sz w:val="22"/>
                <w:szCs w:val="22"/>
                <w:lang w:eastAsia="en-GB"/>
              </w:rPr>
              <w:t>5</w:t>
            </w:r>
            <w:r>
              <w:rPr>
                <w:color w:val="000000"/>
                <w:sz w:val="22"/>
                <w:szCs w:val="22"/>
                <w:lang w:eastAsia="en-GB"/>
              </w:rPr>
              <w:t>53</w:t>
            </w:r>
          </w:p>
        </w:tc>
        <w:tc>
          <w:tcPr>
            <w:tcW w:w="2503" w:type="dxa"/>
            <w:tcBorders>
              <w:top w:val="nil"/>
              <w:left w:val="nil"/>
              <w:bottom w:val="single" w:sz="4" w:space="0" w:color="auto"/>
              <w:right w:val="single" w:sz="4" w:space="0" w:color="auto"/>
            </w:tcBorders>
            <w:shd w:val="clear" w:color="auto" w:fill="auto"/>
            <w:noWrap/>
            <w:vAlign w:val="center"/>
            <w:hideMark/>
          </w:tcPr>
          <w:p w14:paraId="0489A912" w14:textId="77777777" w:rsidR="00676E4B" w:rsidRPr="0022239E" w:rsidRDefault="00676E4B" w:rsidP="00890082">
            <w:pPr>
              <w:jc w:val="center"/>
              <w:rPr>
                <w:color w:val="000000"/>
                <w:sz w:val="22"/>
                <w:szCs w:val="22"/>
                <w:lang w:eastAsia="en-GB"/>
              </w:rPr>
            </w:pPr>
            <w:r w:rsidRPr="0022239E">
              <w:rPr>
                <w:color w:val="000000"/>
                <w:sz w:val="22"/>
                <w:szCs w:val="22"/>
                <w:lang w:eastAsia="en-GB"/>
              </w:rPr>
              <w:t>2.6%</w:t>
            </w:r>
          </w:p>
        </w:tc>
      </w:tr>
      <w:tr w:rsidR="00676E4B" w:rsidRPr="0022239E" w14:paraId="0D591452" w14:textId="77777777" w:rsidTr="00890082">
        <w:trPr>
          <w:trHeight w:val="315"/>
        </w:trPr>
        <w:tc>
          <w:tcPr>
            <w:tcW w:w="2417" w:type="dxa"/>
            <w:tcBorders>
              <w:top w:val="nil"/>
              <w:left w:val="single" w:sz="4" w:space="0" w:color="auto"/>
              <w:bottom w:val="double" w:sz="6" w:space="0" w:color="auto"/>
              <w:right w:val="single" w:sz="4" w:space="0" w:color="auto"/>
            </w:tcBorders>
            <w:shd w:val="clear" w:color="auto" w:fill="auto"/>
            <w:noWrap/>
            <w:vAlign w:val="center"/>
            <w:hideMark/>
          </w:tcPr>
          <w:p w14:paraId="004579E8" w14:textId="77777777" w:rsidR="00676E4B" w:rsidRPr="0022239E" w:rsidRDefault="00676E4B" w:rsidP="00890082">
            <w:pPr>
              <w:rPr>
                <w:color w:val="000000"/>
                <w:sz w:val="22"/>
                <w:szCs w:val="22"/>
                <w:lang w:eastAsia="en-GB"/>
              </w:rPr>
            </w:pPr>
            <w:r w:rsidRPr="0022239E">
              <w:rPr>
                <w:color w:val="000000"/>
                <w:sz w:val="22"/>
                <w:szCs w:val="22"/>
                <w:lang w:eastAsia="en-GB"/>
              </w:rPr>
              <w:t>Canons</w:t>
            </w:r>
          </w:p>
        </w:tc>
        <w:tc>
          <w:tcPr>
            <w:tcW w:w="2148" w:type="dxa"/>
            <w:tcBorders>
              <w:top w:val="nil"/>
              <w:left w:val="nil"/>
              <w:bottom w:val="double" w:sz="6" w:space="0" w:color="auto"/>
              <w:right w:val="single" w:sz="4" w:space="0" w:color="auto"/>
            </w:tcBorders>
            <w:shd w:val="clear" w:color="auto" w:fill="auto"/>
            <w:noWrap/>
            <w:vAlign w:val="center"/>
            <w:hideMark/>
          </w:tcPr>
          <w:p w14:paraId="0462705C" w14:textId="77777777" w:rsidR="00676E4B" w:rsidRPr="0022239E" w:rsidRDefault="00676E4B" w:rsidP="00890082">
            <w:pPr>
              <w:jc w:val="center"/>
              <w:rPr>
                <w:color w:val="000000"/>
                <w:sz w:val="22"/>
                <w:szCs w:val="22"/>
                <w:lang w:eastAsia="en-GB"/>
              </w:rPr>
            </w:pPr>
            <w:r w:rsidRPr="0022239E">
              <w:rPr>
                <w:color w:val="000000"/>
                <w:sz w:val="22"/>
                <w:szCs w:val="22"/>
                <w:lang w:eastAsia="en-GB"/>
              </w:rPr>
              <w:t>4</w:t>
            </w:r>
            <w:r>
              <w:rPr>
                <w:color w:val="000000"/>
                <w:sz w:val="22"/>
                <w:szCs w:val="22"/>
                <w:lang w:eastAsia="en-GB"/>
              </w:rPr>
              <w:t>54</w:t>
            </w:r>
          </w:p>
        </w:tc>
        <w:tc>
          <w:tcPr>
            <w:tcW w:w="2503" w:type="dxa"/>
            <w:tcBorders>
              <w:top w:val="nil"/>
              <w:left w:val="nil"/>
              <w:bottom w:val="double" w:sz="6" w:space="0" w:color="auto"/>
              <w:right w:val="single" w:sz="4" w:space="0" w:color="auto"/>
            </w:tcBorders>
            <w:shd w:val="clear" w:color="auto" w:fill="auto"/>
            <w:noWrap/>
            <w:vAlign w:val="center"/>
            <w:hideMark/>
          </w:tcPr>
          <w:p w14:paraId="4F7D19F1" w14:textId="77777777" w:rsidR="00676E4B" w:rsidRPr="0022239E" w:rsidRDefault="00676E4B" w:rsidP="00890082">
            <w:pPr>
              <w:jc w:val="center"/>
              <w:rPr>
                <w:color w:val="000000"/>
                <w:sz w:val="22"/>
                <w:szCs w:val="22"/>
                <w:lang w:eastAsia="en-GB"/>
              </w:rPr>
            </w:pPr>
            <w:r>
              <w:rPr>
                <w:color w:val="000000"/>
                <w:sz w:val="22"/>
                <w:szCs w:val="22"/>
                <w:lang w:eastAsia="en-GB"/>
              </w:rPr>
              <w:t>2.</w:t>
            </w:r>
            <w:r w:rsidRPr="0022239E">
              <w:rPr>
                <w:color w:val="000000"/>
                <w:sz w:val="22"/>
                <w:szCs w:val="22"/>
                <w:lang w:eastAsia="en-GB"/>
              </w:rPr>
              <w:t>1%</w:t>
            </w:r>
          </w:p>
        </w:tc>
      </w:tr>
      <w:tr w:rsidR="00676E4B" w:rsidRPr="0022239E" w14:paraId="7F501028" w14:textId="77777777" w:rsidTr="00890082">
        <w:trPr>
          <w:trHeight w:val="315"/>
        </w:trPr>
        <w:tc>
          <w:tcPr>
            <w:tcW w:w="2417" w:type="dxa"/>
            <w:tcBorders>
              <w:top w:val="nil"/>
              <w:left w:val="single" w:sz="4" w:space="0" w:color="auto"/>
              <w:bottom w:val="single" w:sz="4" w:space="0" w:color="auto"/>
              <w:right w:val="single" w:sz="4" w:space="0" w:color="auto"/>
            </w:tcBorders>
            <w:shd w:val="clear" w:color="auto" w:fill="auto"/>
            <w:noWrap/>
            <w:vAlign w:val="center"/>
            <w:hideMark/>
          </w:tcPr>
          <w:p w14:paraId="2D6D525A" w14:textId="77777777" w:rsidR="00676E4B" w:rsidRPr="0022239E" w:rsidRDefault="00676E4B" w:rsidP="00890082">
            <w:pPr>
              <w:rPr>
                <w:b/>
                <w:bCs/>
                <w:color w:val="000000"/>
                <w:sz w:val="22"/>
                <w:szCs w:val="22"/>
                <w:lang w:eastAsia="en-GB"/>
              </w:rPr>
            </w:pPr>
            <w:r w:rsidRPr="0022239E">
              <w:rPr>
                <w:b/>
                <w:bCs/>
                <w:color w:val="000000"/>
                <w:sz w:val="22"/>
                <w:szCs w:val="22"/>
                <w:lang w:eastAsia="en-GB"/>
              </w:rPr>
              <w:t>Harrow Wards Total</w:t>
            </w:r>
          </w:p>
        </w:tc>
        <w:tc>
          <w:tcPr>
            <w:tcW w:w="2148" w:type="dxa"/>
            <w:tcBorders>
              <w:top w:val="nil"/>
              <w:left w:val="nil"/>
              <w:bottom w:val="single" w:sz="4" w:space="0" w:color="auto"/>
              <w:right w:val="single" w:sz="4" w:space="0" w:color="auto"/>
            </w:tcBorders>
            <w:shd w:val="clear" w:color="auto" w:fill="auto"/>
            <w:noWrap/>
            <w:vAlign w:val="center"/>
            <w:hideMark/>
          </w:tcPr>
          <w:p w14:paraId="55FD01E3" w14:textId="77777777" w:rsidR="00676E4B" w:rsidRPr="0022239E" w:rsidRDefault="00676E4B" w:rsidP="00890082">
            <w:pPr>
              <w:jc w:val="center"/>
              <w:rPr>
                <w:b/>
                <w:bCs/>
                <w:color w:val="000000"/>
                <w:sz w:val="22"/>
                <w:szCs w:val="22"/>
                <w:lang w:eastAsia="en-GB"/>
              </w:rPr>
            </w:pPr>
            <w:r w:rsidRPr="0022239E">
              <w:rPr>
                <w:b/>
                <w:bCs/>
                <w:color w:val="000000"/>
                <w:sz w:val="22"/>
                <w:szCs w:val="22"/>
                <w:lang w:eastAsia="en-GB"/>
              </w:rPr>
              <w:t>19</w:t>
            </w:r>
            <w:r>
              <w:rPr>
                <w:b/>
                <w:bCs/>
                <w:color w:val="000000"/>
                <w:sz w:val="22"/>
                <w:szCs w:val="22"/>
                <w:lang w:eastAsia="en-GB"/>
              </w:rPr>
              <w:t>,296</w:t>
            </w:r>
          </w:p>
        </w:tc>
        <w:tc>
          <w:tcPr>
            <w:tcW w:w="2503" w:type="dxa"/>
            <w:tcBorders>
              <w:top w:val="nil"/>
              <w:left w:val="nil"/>
              <w:bottom w:val="single" w:sz="4" w:space="0" w:color="auto"/>
              <w:right w:val="single" w:sz="4" w:space="0" w:color="auto"/>
            </w:tcBorders>
            <w:shd w:val="clear" w:color="auto" w:fill="auto"/>
            <w:noWrap/>
            <w:vAlign w:val="center"/>
            <w:hideMark/>
          </w:tcPr>
          <w:p w14:paraId="663E4E55" w14:textId="77777777" w:rsidR="00676E4B" w:rsidRPr="0022239E" w:rsidRDefault="00676E4B" w:rsidP="00890082">
            <w:pPr>
              <w:jc w:val="center"/>
              <w:rPr>
                <w:b/>
                <w:bCs/>
                <w:color w:val="000000"/>
                <w:sz w:val="22"/>
                <w:szCs w:val="22"/>
                <w:lang w:eastAsia="en-GB"/>
              </w:rPr>
            </w:pPr>
            <w:r w:rsidRPr="0022239E">
              <w:rPr>
                <w:b/>
                <w:bCs/>
                <w:color w:val="000000"/>
                <w:sz w:val="22"/>
                <w:szCs w:val="22"/>
                <w:lang w:eastAsia="en-GB"/>
              </w:rPr>
              <w:t>89.</w:t>
            </w:r>
            <w:r>
              <w:rPr>
                <w:b/>
                <w:bCs/>
                <w:color w:val="000000"/>
                <w:sz w:val="22"/>
                <w:szCs w:val="22"/>
                <w:lang w:eastAsia="en-GB"/>
              </w:rPr>
              <w:t>5</w:t>
            </w:r>
            <w:r w:rsidRPr="0022239E">
              <w:rPr>
                <w:b/>
                <w:bCs/>
                <w:color w:val="000000"/>
                <w:sz w:val="22"/>
                <w:szCs w:val="22"/>
                <w:lang w:eastAsia="en-GB"/>
              </w:rPr>
              <w:t>%</w:t>
            </w:r>
          </w:p>
        </w:tc>
      </w:tr>
      <w:tr w:rsidR="00676E4B" w:rsidRPr="0022239E" w14:paraId="1946F058" w14:textId="77777777" w:rsidTr="00890082">
        <w:trPr>
          <w:trHeight w:val="300"/>
        </w:trPr>
        <w:tc>
          <w:tcPr>
            <w:tcW w:w="2417" w:type="dxa"/>
            <w:tcBorders>
              <w:top w:val="nil"/>
              <w:left w:val="single" w:sz="4" w:space="0" w:color="auto"/>
              <w:bottom w:val="single" w:sz="4" w:space="0" w:color="auto"/>
              <w:right w:val="single" w:sz="4" w:space="0" w:color="auto"/>
            </w:tcBorders>
            <w:shd w:val="clear" w:color="auto" w:fill="auto"/>
            <w:noWrap/>
            <w:vAlign w:val="center"/>
            <w:hideMark/>
          </w:tcPr>
          <w:p w14:paraId="3D88C358" w14:textId="77777777" w:rsidR="00676E4B" w:rsidRPr="0022239E" w:rsidRDefault="00676E4B" w:rsidP="00890082">
            <w:pPr>
              <w:rPr>
                <w:b/>
                <w:bCs/>
                <w:color w:val="000000"/>
                <w:sz w:val="22"/>
                <w:szCs w:val="22"/>
                <w:lang w:eastAsia="en-GB"/>
              </w:rPr>
            </w:pPr>
            <w:r w:rsidRPr="0022239E">
              <w:rPr>
                <w:b/>
                <w:bCs/>
                <w:color w:val="000000"/>
                <w:sz w:val="22"/>
                <w:szCs w:val="22"/>
                <w:lang w:eastAsia="en-GB"/>
              </w:rPr>
              <w:t>Out of borough</w:t>
            </w:r>
          </w:p>
        </w:tc>
        <w:tc>
          <w:tcPr>
            <w:tcW w:w="2148" w:type="dxa"/>
            <w:tcBorders>
              <w:top w:val="nil"/>
              <w:left w:val="nil"/>
              <w:bottom w:val="single" w:sz="4" w:space="0" w:color="auto"/>
              <w:right w:val="single" w:sz="4" w:space="0" w:color="auto"/>
            </w:tcBorders>
            <w:shd w:val="clear" w:color="auto" w:fill="auto"/>
            <w:noWrap/>
            <w:vAlign w:val="center"/>
            <w:hideMark/>
          </w:tcPr>
          <w:p w14:paraId="42BAE7B4" w14:textId="77777777" w:rsidR="00676E4B" w:rsidRPr="0022239E" w:rsidRDefault="00676E4B" w:rsidP="00890082">
            <w:pPr>
              <w:jc w:val="center"/>
              <w:rPr>
                <w:b/>
                <w:bCs/>
                <w:color w:val="000000"/>
                <w:sz w:val="22"/>
                <w:szCs w:val="22"/>
                <w:lang w:eastAsia="en-GB"/>
              </w:rPr>
            </w:pPr>
            <w:r w:rsidRPr="0022239E">
              <w:rPr>
                <w:b/>
                <w:bCs/>
                <w:color w:val="000000"/>
                <w:sz w:val="22"/>
                <w:szCs w:val="22"/>
                <w:lang w:eastAsia="en-GB"/>
              </w:rPr>
              <w:t>2</w:t>
            </w:r>
            <w:r>
              <w:rPr>
                <w:b/>
                <w:bCs/>
                <w:color w:val="000000"/>
                <w:sz w:val="22"/>
                <w:szCs w:val="22"/>
                <w:lang w:eastAsia="en-GB"/>
              </w:rPr>
              <w:t>,</w:t>
            </w:r>
            <w:r w:rsidRPr="0022239E">
              <w:rPr>
                <w:b/>
                <w:bCs/>
                <w:color w:val="000000"/>
                <w:sz w:val="22"/>
                <w:szCs w:val="22"/>
                <w:lang w:eastAsia="en-GB"/>
              </w:rPr>
              <w:t>2</w:t>
            </w:r>
            <w:r>
              <w:rPr>
                <w:b/>
                <w:bCs/>
                <w:color w:val="000000"/>
                <w:sz w:val="22"/>
                <w:szCs w:val="22"/>
                <w:lang w:eastAsia="en-GB"/>
              </w:rPr>
              <w:t>65</w:t>
            </w:r>
          </w:p>
        </w:tc>
        <w:tc>
          <w:tcPr>
            <w:tcW w:w="2503" w:type="dxa"/>
            <w:tcBorders>
              <w:top w:val="nil"/>
              <w:left w:val="nil"/>
              <w:bottom w:val="single" w:sz="4" w:space="0" w:color="auto"/>
              <w:right w:val="single" w:sz="4" w:space="0" w:color="auto"/>
            </w:tcBorders>
            <w:shd w:val="clear" w:color="auto" w:fill="auto"/>
            <w:noWrap/>
            <w:vAlign w:val="center"/>
            <w:hideMark/>
          </w:tcPr>
          <w:p w14:paraId="1757AAFA" w14:textId="77777777" w:rsidR="00676E4B" w:rsidRPr="0022239E" w:rsidRDefault="00676E4B" w:rsidP="00890082">
            <w:pPr>
              <w:jc w:val="center"/>
              <w:rPr>
                <w:b/>
                <w:bCs/>
                <w:color w:val="000000"/>
                <w:sz w:val="22"/>
                <w:szCs w:val="22"/>
                <w:lang w:eastAsia="en-GB"/>
              </w:rPr>
            </w:pPr>
            <w:r w:rsidRPr="0022239E">
              <w:rPr>
                <w:b/>
                <w:bCs/>
                <w:color w:val="000000"/>
                <w:sz w:val="22"/>
                <w:szCs w:val="22"/>
                <w:lang w:eastAsia="en-GB"/>
              </w:rPr>
              <w:t>10.</w:t>
            </w:r>
            <w:r>
              <w:rPr>
                <w:b/>
                <w:bCs/>
                <w:color w:val="000000"/>
                <w:sz w:val="22"/>
                <w:szCs w:val="22"/>
                <w:lang w:eastAsia="en-GB"/>
              </w:rPr>
              <w:t>5</w:t>
            </w:r>
            <w:r w:rsidRPr="0022239E">
              <w:rPr>
                <w:b/>
                <w:bCs/>
                <w:color w:val="000000"/>
                <w:sz w:val="22"/>
                <w:szCs w:val="22"/>
                <w:lang w:eastAsia="en-GB"/>
              </w:rPr>
              <w:t>%</w:t>
            </w:r>
          </w:p>
        </w:tc>
      </w:tr>
      <w:tr w:rsidR="00676E4B" w:rsidRPr="0022239E" w14:paraId="01BB3AAD" w14:textId="77777777" w:rsidTr="00890082">
        <w:trPr>
          <w:trHeight w:val="300"/>
        </w:trPr>
        <w:tc>
          <w:tcPr>
            <w:tcW w:w="2417" w:type="dxa"/>
            <w:tcBorders>
              <w:top w:val="nil"/>
              <w:left w:val="single" w:sz="4" w:space="0" w:color="auto"/>
              <w:bottom w:val="single" w:sz="4" w:space="0" w:color="auto"/>
              <w:right w:val="single" w:sz="4" w:space="0" w:color="auto"/>
            </w:tcBorders>
            <w:shd w:val="clear" w:color="auto" w:fill="auto"/>
            <w:noWrap/>
            <w:vAlign w:val="center"/>
            <w:hideMark/>
          </w:tcPr>
          <w:p w14:paraId="517F2A4C" w14:textId="77777777" w:rsidR="00676E4B" w:rsidRPr="0022239E" w:rsidRDefault="00676E4B" w:rsidP="00890082">
            <w:pPr>
              <w:rPr>
                <w:b/>
                <w:bCs/>
                <w:color w:val="000000"/>
                <w:sz w:val="22"/>
                <w:szCs w:val="22"/>
                <w:lang w:eastAsia="en-GB"/>
              </w:rPr>
            </w:pPr>
            <w:r w:rsidRPr="0022239E">
              <w:rPr>
                <w:b/>
                <w:bCs/>
                <w:color w:val="000000"/>
                <w:sz w:val="22"/>
                <w:szCs w:val="22"/>
                <w:lang w:eastAsia="en-GB"/>
              </w:rPr>
              <w:t>Grand Total</w:t>
            </w:r>
          </w:p>
        </w:tc>
        <w:tc>
          <w:tcPr>
            <w:tcW w:w="2148" w:type="dxa"/>
            <w:tcBorders>
              <w:top w:val="nil"/>
              <w:left w:val="nil"/>
              <w:bottom w:val="single" w:sz="4" w:space="0" w:color="auto"/>
              <w:right w:val="single" w:sz="4" w:space="0" w:color="auto"/>
            </w:tcBorders>
            <w:shd w:val="clear" w:color="auto" w:fill="auto"/>
            <w:noWrap/>
            <w:vAlign w:val="center"/>
            <w:hideMark/>
          </w:tcPr>
          <w:p w14:paraId="168686A5" w14:textId="77777777" w:rsidR="00676E4B" w:rsidRPr="0022239E" w:rsidRDefault="00676E4B" w:rsidP="00890082">
            <w:pPr>
              <w:jc w:val="center"/>
              <w:rPr>
                <w:b/>
                <w:bCs/>
                <w:color w:val="000000"/>
                <w:sz w:val="22"/>
                <w:szCs w:val="22"/>
                <w:lang w:eastAsia="en-GB"/>
              </w:rPr>
            </w:pPr>
            <w:r w:rsidRPr="0022239E">
              <w:rPr>
                <w:b/>
                <w:bCs/>
                <w:color w:val="000000"/>
                <w:sz w:val="22"/>
                <w:szCs w:val="22"/>
                <w:lang w:eastAsia="en-GB"/>
              </w:rPr>
              <w:t>21</w:t>
            </w:r>
            <w:r>
              <w:rPr>
                <w:b/>
                <w:bCs/>
                <w:color w:val="000000"/>
                <w:sz w:val="22"/>
                <w:szCs w:val="22"/>
                <w:lang w:eastAsia="en-GB"/>
              </w:rPr>
              <w:t>,561</w:t>
            </w:r>
          </w:p>
        </w:tc>
        <w:tc>
          <w:tcPr>
            <w:tcW w:w="2503" w:type="dxa"/>
            <w:tcBorders>
              <w:top w:val="nil"/>
              <w:left w:val="nil"/>
              <w:bottom w:val="single" w:sz="4" w:space="0" w:color="auto"/>
              <w:right w:val="single" w:sz="4" w:space="0" w:color="auto"/>
            </w:tcBorders>
            <w:shd w:val="clear" w:color="auto" w:fill="auto"/>
            <w:noWrap/>
            <w:vAlign w:val="center"/>
            <w:hideMark/>
          </w:tcPr>
          <w:p w14:paraId="41E82409" w14:textId="77777777" w:rsidR="00676E4B" w:rsidRPr="0022239E" w:rsidRDefault="00676E4B" w:rsidP="00890082">
            <w:pPr>
              <w:jc w:val="center"/>
              <w:rPr>
                <w:b/>
                <w:bCs/>
                <w:color w:val="000000"/>
                <w:sz w:val="22"/>
                <w:szCs w:val="22"/>
                <w:lang w:eastAsia="en-GB"/>
              </w:rPr>
            </w:pPr>
            <w:r w:rsidRPr="0022239E">
              <w:rPr>
                <w:b/>
                <w:bCs/>
                <w:color w:val="000000"/>
                <w:sz w:val="22"/>
                <w:szCs w:val="22"/>
                <w:lang w:eastAsia="en-GB"/>
              </w:rPr>
              <w:t>100%</w:t>
            </w:r>
          </w:p>
        </w:tc>
      </w:tr>
    </w:tbl>
    <w:p w14:paraId="06C6A451" w14:textId="77777777" w:rsidR="00676E4B" w:rsidRPr="00B7014C" w:rsidRDefault="00676E4B" w:rsidP="00676E4B">
      <w:pPr>
        <w:rPr>
          <w:sz w:val="22"/>
          <w:szCs w:val="22"/>
        </w:rPr>
      </w:pPr>
      <w:r w:rsidRPr="00B7014C">
        <w:rPr>
          <w:sz w:val="22"/>
          <w:szCs w:val="22"/>
        </w:rPr>
        <w:t>Source – January 202</w:t>
      </w:r>
      <w:r>
        <w:rPr>
          <w:sz w:val="22"/>
          <w:szCs w:val="22"/>
        </w:rPr>
        <w:t>3</w:t>
      </w:r>
      <w:r w:rsidRPr="00B7014C">
        <w:rPr>
          <w:sz w:val="22"/>
          <w:szCs w:val="22"/>
        </w:rPr>
        <w:t xml:space="preserve"> School Census NB special schools not included</w:t>
      </w:r>
    </w:p>
    <w:p w14:paraId="6D304C94" w14:textId="0D9A6404" w:rsidR="00A16979" w:rsidRPr="002822D7" w:rsidRDefault="00A16979" w:rsidP="00676E4B">
      <w:pPr>
        <w:rPr>
          <w:b/>
        </w:rPr>
      </w:pPr>
    </w:p>
    <w:p w14:paraId="70F6B9DB" w14:textId="77777777" w:rsidR="00A16979" w:rsidRPr="002822D7" w:rsidRDefault="00A16979" w:rsidP="00A16979">
      <w:pPr>
        <w:rPr>
          <w:b/>
        </w:rPr>
      </w:pPr>
      <w:r w:rsidRPr="002822D7">
        <w:rPr>
          <w:b/>
        </w:rPr>
        <w:t>Residence of Reception Pupils</w:t>
      </w:r>
    </w:p>
    <w:p w14:paraId="42EB969F" w14:textId="77777777" w:rsidR="0060347E" w:rsidRDefault="0060347E" w:rsidP="0060347E">
      <w:r w:rsidRPr="00B7014C">
        <w:t xml:space="preserve">As </w:t>
      </w:r>
      <w:proofErr w:type="gramStart"/>
      <w:r w:rsidRPr="00B7014C">
        <w:t>at</w:t>
      </w:r>
      <w:proofErr w:type="gramEnd"/>
      <w:r w:rsidRPr="00B7014C">
        <w:t xml:space="preserve"> January 202</w:t>
      </w:r>
      <w:r>
        <w:t>3</w:t>
      </w:r>
      <w:r w:rsidRPr="00B7014C">
        <w:t xml:space="preserve"> there were 3,</w:t>
      </w:r>
      <w:r>
        <w:t>162</w:t>
      </w:r>
      <w:r w:rsidRPr="00B7014C">
        <w:t xml:space="preserve"> (3,0</w:t>
      </w:r>
      <w:r>
        <w:t>48</w:t>
      </w:r>
      <w:r w:rsidRPr="00B7014C">
        <w:t xml:space="preserve"> in 202</w:t>
      </w:r>
      <w:r>
        <w:t>2</w:t>
      </w:r>
      <w:r w:rsidRPr="00B7014C">
        <w:t xml:space="preserve">) pupils in the Reception year group and </w:t>
      </w:r>
      <w:r>
        <w:t>10.3</w:t>
      </w:r>
      <w:r w:rsidRPr="00B7014C">
        <w:t>% (</w:t>
      </w:r>
      <w:r>
        <w:t>10.3</w:t>
      </w:r>
      <w:r w:rsidRPr="00B7014C">
        <w:t>% in 202</w:t>
      </w:r>
      <w:r>
        <w:t>2</w:t>
      </w:r>
      <w:r w:rsidRPr="00B7014C">
        <w:t xml:space="preserve">) of Harrow schools’ Reception pupils live outside the borough.  </w:t>
      </w:r>
    </w:p>
    <w:p w14:paraId="62FE32F1" w14:textId="77777777" w:rsidR="0060347E" w:rsidRDefault="0060347E" w:rsidP="0060347E"/>
    <w:p w14:paraId="4CF537F1" w14:textId="77777777" w:rsidR="0060347E" w:rsidRPr="00B7014C" w:rsidRDefault="0060347E" w:rsidP="0060347E">
      <w:r w:rsidRPr="00B7014C">
        <w:t xml:space="preserve">In </w:t>
      </w:r>
      <w:r w:rsidRPr="00521AE4">
        <w:t>January 202</w:t>
      </w:r>
      <w:r>
        <w:t>3</w:t>
      </w:r>
      <w:r w:rsidRPr="00521AE4">
        <w:t xml:space="preserve"> </w:t>
      </w:r>
      <w:r>
        <w:t xml:space="preserve">the </w:t>
      </w:r>
      <w:r w:rsidRPr="00521AE4">
        <w:t>out</w:t>
      </w:r>
      <w:r>
        <w:t xml:space="preserve"> of </w:t>
      </w:r>
      <w:r w:rsidRPr="00521AE4">
        <w:t>borough pupils mainly live in</w:t>
      </w:r>
      <w:r w:rsidRPr="00B7014C">
        <w:t xml:space="preserve"> Harrow’s neighbouring boroughs: Brent 1</w:t>
      </w:r>
      <w:r>
        <w:t>10</w:t>
      </w:r>
      <w:r w:rsidRPr="00B7014C">
        <w:t xml:space="preserve"> (1</w:t>
      </w:r>
      <w:r>
        <w:t>20</w:t>
      </w:r>
      <w:r w:rsidRPr="00B7014C">
        <w:t xml:space="preserve"> in 202</w:t>
      </w:r>
      <w:r>
        <w:t>2</w:t>
      </w:r>
      <w:r w:rsidRPr="00B7014C">
        <w:t xml:space="preserve">), Hillingdon </w:t>
      </w:r>
      <w:r>
        <w:t>79</w:t>
      </w:r>
      <w:r w:rsidRPr="00B7014C">
        <w:t xml:space="preserve"> (6</w:t>
      </w:r>
      <w:r>
        <w:t>0</w:t>
      </w:r>
      <w:r w:rsidRPr="00B7014C">
        <w:t xml:space="preserve"> in 202</w:t>
      </w:r>
      <w:r>
        <w:t>2</w:t>
      </w:r>
      <w:r w:rsidRPr="00B7014C">
        <w:t>)</w:t>
      </w:r>
      <w:r>
        <w:t xml:space="preserve">, Hertfordshire 50 (61 in 2022), </w:t>
      </w:r>
      <w:r w:rsidRPr="00B7014C">
        <w:t xml:space="preserve">Barnet </w:t>
      </w:r>
      <w:r>
        <w:t>49</w:t>
      </w:r>
      <w:r w:rsidRPr="00B7014C">
        <w:t xml:space="preserve"> (</w:t>
      </w:r>
      <w:r>
        <w:t>34</w:t>
      </w:r>
      <w:r w:rsidRPr="00B7014C">
        <w:t xml:space="preserve"> in 202</w:t>
      </w:r>
      <w:r>
        <w:t>2</w:t>
      </w:r>
      <w:r w:rsidRPr="00B7014C">
        <w:t>)</w:t>
      </w:r>
      <w:r>
        <w:t xml:space="preserve">, </w:t>
      </w:r>
      <w:r w:rsidRPr="00B7014C">
        <w:t>Ealing 3</w:t>
      </w:r>
      <w:r>
        <w:t>4</w:t>
      </w:r>
      <w:r w:rsidRPr="00B7014C">
        <w:t xml:space="preserve"> (3</w:t>
      </w:r>
      <w:r>
        <w:t>6</w:t>
      </w:r>
      <w:r w:rsidRPr="00B7014C">
        <w:t xml:space="preserve"> in 202</w:t>
      </w:r>
      <w:r>
        <w:t>2</w:t>
      </w:r>
      <w:r w:rsidRPr="00B7014C">
        <w:t>)</w:t>
      </w:r>
      <w:r>
        <w:t xml:space="preserve"> </w:t>
      </w:r>
      <w:r w:rsidRPr="00B7014C">
        <w:t xml:space="preserve">and Other LAs </w:t>
      </w:r>
      <w:r>
        <w:t>4</w:t>
      </w:r>
      <w:r w:rsidRPr="00B7014C">
        <w:t xml:space="preserve"> (</w:t>
      </w:r>
      <w:r>
        <w:t xml:space="preserve">3 </w:t>
      </w:r>
      <w:r w:rsidRPr="003D3D87">
        <w:t>in 202</w:t>
      </w:r>
      <w:r>
        <w:t>2</w:t>
      </w:r>
      <w:r w:rsidRPr="00B7014C">
        <w:t>).</w:t>
      </w:r>
    </w:p>
    <w:p w14:paraId="259A4A2D" w14:textId="77777777" w:rsidR="00A16979" w:rsidRPr="002822D7" w:rsidRDefault="00A16979" w:rsidP="00A16979"/>
    <w:p w14:paraId="46EADB85" w14:textId="77777777" w:rsidR="00E3087D" w:rsidRPr="00B7014C" w:rsidRDefault="00E3087D" w:rsidP="00E3087D">
      <w:r w:rsidRPr="00B7014C">
        <w:t>In January 202</w:t>
      </w:r>
      <w:r>
        <w:t>2</w:t>
      </w:r>
      <w:r w:rsidRPr="00B7014C">
        <w:t xml:space="preserve">, </w:t>
      </w:r>
      <w:r>
        <w:t>7</w:t>
      </w:r>
      <w:r w:rsidRPr="00B7014C">
        <w:t>.</w:t>
      </w:r>
      <w:r>
        <w:t>5</w:t>
      </w:r>
      <w:r w:rsidRPr="00B7014C">
        <w:t>%</w:t>
      </w:r>
      <w:r>
        <w:t xml:space="preserve">, 215 pupils, </w:t>
      </w:r>
      <w:r w:rsidRPr="00B7014C">
        <w:t>of Harrow’s resident Reception age children attended schools maintained by other local authorities</w:t>
      </w:r>
      <w:r>
        <w:t xml:space="preserve"> </w:t>
      </w:r>
      <w:r w:rsidRPr="00B7014C">
        <w:t>(6</w:t>
      </w:r>
      <w:r>
        <w:t>.7</w:t>
      </w:r>
      <w:r w:rsidRPr="00B7014C">
        <w:t>% in January 20</w:t>
      </w:r>
      <w:r>
        <w:t>21</w:t>
      </w:r>
      <w:r w:rsidRPr="00B7014C">
        <w:t xml:space="preserve">).  </w:t>
      </w:r>
      <w:r>
        <w:t xml:space="preserve">In January 2022, 10.7%, 316 children (302, 10.1% in January 2021) of other local </w:t>
      </w:r>
      <w:proofErr w:type="gramStart"/>
      <w:r>
        <w:t>authorities</w:t>
      </w:r>
      <w:proofErr w:type="gramEnd"/>
      <w:r>
        <w:t xml:space="preserve"> children attended schools in Harrow, resulting in t</w:t>
      </w:r>
      <w:r w:rsidRPr="00B7014C">
        <w:t xml:space="preserve">he net difference </w:t>
      </w:r>
      <w:r>
        <w:t xml:space="preserve">of 3.2% </w:t>
      </w:r>
      <w:r w:rsidRPr="00B7014C">
        <w:t>between imports and exports of the school population in Reception for Harrow in 20</w:t>
      </w:r>
      <w:r>
        <w:t>21</w:t>
      </w:r>
      <w:r w:rsidRPr="00B7014C">
        <w:t>/2</w:t>
      </w:r>
      <w:r>
        <w:t>2.</w:t>
      </w:r>
    </w:p>
    <w:p w14:paraId="3AF458E1" w14:textId="77777777" w:rsidR="00E3087D" w:rsidRPr="00B7014C" w:rsidRDefault="00E3087D" w:rsidP="00E3087D"/>
    <w:p w14:paraId="4B02883A" w14:textId="77777777" w:rsidR="00E3087D" w:rsidRPr="00B7014C" w:rsidRDefault="00E3087D" w:rsidP="00E3087D">
      <w:r w:rsidRPr="00B7014C">
        <w:t>The numbers of primary age pupils exported and imported into Harrow have remained similar and balanced over the last 4 years; however as at January 202</w:t>
      </w:r>
      <w:r>
        <w:t>2</w:t>
      </w:r>
      <w:r w:rsidRPr="00B7014C">
        <w:t xml:space="preserve"> Harrow imported </w:t>
      </w:r>
      <w:r>
        <w:t>695</w:t>
      </w:r>
      <w:r w:rsidRPr="00B7014C">
        <w:t xml:space="preserve"> more children into its schools than it exported into other borough’s schools</w:t>
      </w:r>
      <w:r>
        <w:t xml:space="preserve"> </w:t>
      </w:r>
      <w:r w:rsidRPr="00B7014C">
        <w:t>(</w:t>
      </w:r>
      <w:r>
        <w:t>619</w:t>
      </w:r>
      <w:r w:rsidRPr="00B7014C">
        <w:t xml:space="preserve"> in January 20</w:t>
      </w:r>
      <w:r>
        <w:t>21</w:t>
      </w:r>
      <w:r w:rsidRPr="00B7014C">
        <w:t xml:space="preserve">).  </w:t>
      </w:r>
    </w:p>
    <w:p w14:paraId="3B3106C4" w14:textId="77777777" w:rsidR="00E3087D" w:rsidRPr="00B7014C" w:rsidRDefault="00E3087D" w:rsidP="00E3087D"/>
    <w:p w14:paraId="62DD640B" w14:textId="77777777" w:rsidR="00E3087D" w:rsidRDefault="00E3087D" w:rsidP="00E3087D">
      <w:r w:rsidRPr="00D06D7D">
        <w:t xml:space="preserve">Table </w:t>
      </w:r>
      <w:r>
        <w:t>29</w:t>
      </w:r>
      <w:r w:rsidRPr="00D06D7D">
        <w:t xml:space="preserve"> below</w:t>
      </w:r>
      <w:r w:rsidRPr="00B7014C">
        <w:t xml:space="preserve"> shows where Harrow’s resident pupils attend primary schools outside of the borough over the last 4 years.  The number of pupils leaving Harrow to attend schools in other </w:t>
      </w:r>
      <w:r w:rsidRPr="00B7014C">
        <w:lastRenderedPageBreak/>
        <w:t xml:space="preserve">boroughs has continued dropping over the last </w:t>
      </w:r>
      <w:r>
        <w:t>five</w:t>
      </w:r>
      <w:r w:rsidRPr="00B7014C">
        <w:t xml:space="preserve"> years, from 1,92</w:t>
      </w:r>
      <w:r>
        <w:t>0</w:t>
      </w:r>
      <w:r w:rsidRPr="00B7014C">
        <w:t xml:space="preserve"> in January 201</w:t>
      </w:r>
      <w:r>
        <w:t>7</w:t>
      </w:r>
      <w:r w:rsidRPr="00B7014C">
        <w:t xml:space="preserve"> to 1,5</w:t>
      </w:r>
      <w:r>
        <w:t>74</w:t>
      </w:r>
      <w:r w:rsidRPr="00B7014C">
        <w:t xml:space="preserve"> in January 202</w:t>
      </w:r>
      <w:r>
        <w:t>1</w:t>
      </w:r>
      <w:r w:rsidRPr="00B7014C">
        <w:t>.</w:t>
      </w:r>
    </w:p>
    <w:p w14:paraId="6253E7D7" w14:textId="77777777" w:rsidR="00E3087D" w:rsidRPr="001F1D4B" w:rsidRDefault="00E3087D" w:rsidP="00E3087D"/>
    <w:p w14:paraId="47F207E2" w14:textId="77777777" w:rsidR="00E3087D" w:rsidRPr="00B7014C" w:rsidRDefault="00E3087D" w:rsidP="00E3087D">
      <w:r w:rsidRPr="001F1D4B">
        <w:t xml:space="preserve">Table </w:t>
      </w:r>
      <w:r>
        <w:t xml:space="preserve">29: </w:t>
      </w:r>
      <w:r w:rsidRPr="001F1D4B">
        <w:t>Harrow’s resident pupils attending primary schools in other boroughs</w:t>
      </w:r>
    </w:p>
    <w:tbl>
      <w:tblPr>
        <w:tblW w:w="4791" w:type="pct"/>
        <w:tblLook w:val="04A0" w:firstRow="1" w:lastRow="0" w:firstColumn="1" w:lastColumn="0" w:noHBand="0" w:noVBand="1"/>
      </w:tblPr>
      <w:tblGrid>
        <w:gridCol w:w="4177"/>
        <w:gridCol w:w="953"/>
        <w:gridCol w:w="923"/>
        <w:gridCol w:w="923"/>
        <w:gridCol w:w="926"/>
        <w:gridCol w:w="928"/>
        <w:gridCol w:w="928"/>
      </w:tblGrid>
      <w:tr w:rsidR="00E3087D" w:rsidRPr="00B7014C" w14:paraId="007FF9EF" w14:textId="77777777" w:rsidTr="00890082">
        <w:trPr>
          <w:trHeight w:val="178"/>
        </w:trPr>
        <w:tc>
          <w:tcPr>
            <w:tcW w:w="2058" w:type="pct"/>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2B254EB5" w14:textId="77777777" w:rsidR="00E3087D" w:rsidRPr="00B7014C" w:rsidRDefault="00E3087D" w:rsidP="00890082">
            <w:pPr>
              <w:rPr>
                <w:b/>
                <w:bCs/>
                <w:color w:val="000000"/>
                <w:sz w:val="22"/>
                <w:szCs w:val="22"/>
                <w:lang w:eastAsia="en-GB"/>
              </w:rPr>
            </w:pPr>
            <w:r w:rsidRPr="00B7014C">
              <w:rPr>
                <w:b/>
                <w:bCs/>
                <w:color w:val="000000"/>
                <w:sz w:val="22"/>
                <w:szCs w:val="22"/>
                <w:lang w:eastAsia="en-GB"/>
              </w:rPr>
              <w:t>Primary School LA</w:t>
            </w:r>
          </w:p>
        </w:tc>
        <w:tc>
          <w:tcPr>
            <w:tcW w:w="2942" w:type="pct"/>
            <w:gridSpan w:val="6"/>
            <w:tcBorders>
              <w:top w:val="single" w:sz="8" w:space="0" w:color="auto"/>
              <w:left w:val="nil"/>
              <w:bottom w:val="single" w:sz="8" w:space="0" w:color="auto"/>
              <w:right w:val="single" w:sz="8" w:space="0" w:color="000000"/>
            </w:tcBorders>
            <w:shd w:val="clear" w:color="auto" w:fill="auto"/>
            <w:vAlign w:val="center"/>
            <w:hideMark/>
          </w:tcPr>
          <w:p w14:paraId="514934EB" w14:textId="77777777" w:rsidR="00E3087D" w:rsidRPr="00B7014C" w:rsidRDefault="00E3087D" w:rsidP="00890082">
            <w:pPr>
              <w:jc w:val="center"/>
              <w:rPr>
                <w:b/>
                <w:bCs/>
                <w:color w:val="000000"/>
                <w:sz w:val="22"/>
                <w:szCs w:val="22"/>
                <w:lang w:eastAsia="en-GB"/>
              </w:rPr>
            </w:pPr>
            <w:r w:rsidRPr="00B7014C">
              <w:rPr>
                <w:b/>
                <w:bCs/>
                <w:color w:val="000000"/>
                <w:sz w:val="22"/>
                <w:szCs w:val="22"/>
                <w:lang w:eastAsia="en-GB"/>
              </w:rPr>
              <w:t>Pupil residents of Harrow</w:t>
            </w:r>
          </w:p>
        </w:tc>
      </w:tr>
      <w:tr w:rsidR="00E3087D" w:rsidRPr="00B7014C" w14:paraId="1FB6E91E" w14:textId="77777777" w:rsidTr="00890082">
        <w:trPr>
          <w:trHeight w:val="40"/>
        </w:trPr>
        <w:tc>
          <w:tcPr>
            <w:tcW w:w="2058" w:type="pct"/>
            <w:vMerge/>
            <w:tcBorders>
              <w:top w:val="single" w:sz="8" w:space="0" w:color="auto"/>
              <w:left w:val="single" w:sz="8" w:space="0" w:color="auto"/>
              <w:bottom w:val="single" w:sz="8" w:space="0" w:color="000000"/>
              <w:right w:val="single" w:sz="8" w:space="0" w:color="auto"/>
            </w:tcBorders>
            <w:vAlign w:val="center"/>
            <w:hideMark/>
          </w:tcPr>
          <w:p w14:paraId="48A40224" w14:textId="77777777" w:rsidR="00E3087D" w:rsidRPr="00B7014C" w:rsidRDefault="00E3087D" w:rsidP="00890082">
            <w:pPr>
              <w:rPr>
                <w:b/>
                <w:bCs/>
                <w:color w:val="000000"/>
                <w:sz w:val="22"/>
                <w:szCs w:val="22"/>
                <w:lang w:eastAsia="en-GB"/>
              </w:rPr>
            </w:pPr>
          </w:p>
        </w:tc>
        <w:tc>
          <w:tcPr>
            <w:tcW w:w="502" w:type="pct"/>
            <w:tcBorders>
              <w:top w:val="nil"/>
              <w:left w:val="nil"/>
              <w:bottom w:val="single" w:sz="8" w:space="0" w:color="auto"/>
              <w:right w:val="single" w:sz="8" w:space="0" w:color="auto"/>
            </w:tcBorders>
            <w:shd w:val="clear" w:color="auto" w:fill="auto"/>
            <w:noWrap/>
            <w:vAlign w:val="center"/>
            <w:hideMark/>
          </w:tcPr>
          <w:p w14:paraId="56F30162" w14:textId="77777777" w:rsidR="00E3087D" w:rsidRPr="00B7014C" w:rsidRDefault="00E3087D" w:rsidP="00890082">
            <w:pPr>
              <w:jc w:val="center"/>
              <w:rPr>
                <w:b/>
                <w:bCs/>
                <w:color w:val="000000"/>
                <w:sz w:val="22"/>
                <w:szCs w:val="22"/>
                <w:lang w:eastAsia="en-GB"/>
              </w:rPr>
            </w:pPr>
            <w:r w:rsidRPr="00B7014C">
              <w:rPr>
                <w:b/>
                <w:bCs/>
                <w:color w:val="000000"/>
                <w:sz w:val="22"/>
                <w:szCs w:val="22"/>
                <w:lang w:eastAsia="en-GB"/>
              </w:rPr>
              <w:t>Jan-17</w:t>
            </w:r>
          </w:p>
        </w:tc>
        <w:tc>
          <w:tcPr>
            <w:tcW w:w="487" w:type="pct"/>
            <w:tcBorders>
              <w:top w:val="nil"/>
              <w:left w:val="nil"/>
              <w:bottom w:val="single" w:sz="8" w:space="0" w:color="auto"/>
              <w:right w:val="single" w:sz="8" w:space="0" w:color="auto"/>
            </w:tcBorders>
            <w:shd w:val="clear" w:color="auto" w:fill="auto"/>
            <w:noWrap/>
            <w:vAlign w:val="center"/>
            <w:hideMark/>
          </w:tcPr>
          <w:p w14:paraId="4388FDE5" w14:textId="77777777" w:rsidR="00E3087D" w:rsidRPr="00B7014C" w:rsidRDefault="00E3087D" w:rsidP="00890082">
            <w:pPr>
              <w:jc w:val="center"/>
              <w:rPr>
                <w:b/>
                <w:bCs/>
                <w:color w:val="000000"/>
                <w:sz w:val="22"/>
                <w:szCs w:val="22"/>
                <w:lang w:eastAsia="en-GB"/>
              </w:rPr>
            </w:pPr>
            <w:r w:rsidRPr="00B7014C">
              <w:rPr>
                <w:b/>
                <w:bCs/>
                <w:color w:val="000000"/>
                <w:sz w:val="22"/>
                <w:szCs w:val="22"/>
                <w:lang w:eastAsia="en-GB"/>
              </w:rPr>
              <w:t>Jan-18</w:t>
            </w:r>
          </w:p>
        </w:tc>
        <w:tc>
          <w:tcPr>
            <w:tcW w:w="487" w:type="pct"/>
            <w:tcBorders>
              <w:top w:val="nil"/>
              <w:left w:val="nil"/>
              <w:bottom w:val="single" w:sz="8" w:space="0" w:color="auto"/>
              <w:right w:val="single" w:sz="8" w:space="0" w:color="auto"/>
            </w:tcBorders>
            <w:shd w:val="clear" w:color="auto" w:fill="auto"/>
            <w:noWrap/>
            <w:vAlign w:val="center"/>
            <w:hideMark/>
          </w:tcPr>
          <w:p w14:paraId="7981063E" w14:textId="77777777" w:rsidR="00E3087D" w:rsidRPr="00B7014C" w:rsidRDefault="00E3087D" w:rsidP="00890082">
            <w:pPr>
              <w:jc w:val="center"/>
              <w:rPr>
                <w:b/>
                <w:bCs/>
                <w:color w:val="000000"/>
                <w:sz w:val="22"/>
                <w:szCs w:val="22"/>
                <w:lang w:eastAsia="en-GB"/>
              </w:rPr>
            </w:pPr>
            <w:r w:rsidRPr="00B7014C">
              <w:rPr>
                <w:b/>
                <w:bCs/>
                <w:color w:val="000000"/>
                <w:sz w:val="22"/>
                <w:szCs w:val="22"/>
                <w:lang w:eastAsia="en-GB"/>
              </w:rPr>
              <w:t>Jan-19</w:t>
            </w:r>
          </w:p>
        </w:tc>
        <w:tc>
          <w:tcPr>
            <w:tcW w:w="488" w:type="pct"/>
            <w:tcBorders>
              <w:top w:val="nil"/>
              <w:left w:val="nil"/>
              <w:bottom w:val="single" w:sz="8" w:space="0" w:color="auto"/>
              <w:right w:val="single" w:sz="8" w:space="0" w:color="auto"/>
            </w:tcBorders>
            <w:vAlign w:val="center"/>
          </w:tcPr>
          <w:p w14:paraId="65D9605F" w14:textId="77777777" w:rsidR="00E3087D" w:rsidRPr="00B7014C" w:rsidRDefault="00E3087D" w:rsidP="00890082">
            <w:pPr>
              <w:jc w:val="center"/>
              <w:rPr>
                <w:b/>
                <w:bCs/>
                <w:color w:val="000000"/>
                <w:sz w:val="22"/>
                <w:szCs w:val="22"/>
                <w:lang w:eastAsia="en-GB"/>
              </w:rPr>
            </w:pPr>
            <w:r w:rsidRPr="00B7014C">
              <w:rPr>
                <w:b/>
                <w:bCs/>
                <w:color w:val="000000"/>
                <w:sz w:val="22"/>
                <w:szCs w:val="22"/>
                <w:lang w:eastAsia="en-GB"/>
              </w:rPr>
              <w:t>Jan-20</w:t>
            </w:r>
          </w:p>
        </w:tc>
        <w:tc>
          <w:tcPr>
            <w:tcW w:w="489" w:type="pct"/>
            <w:tcBorders>
              <w:top w:val="nil"/>
              <w:left w:val="nil"/>
              <w:bottom w:val="single" w:sz="8" w:space="0" w:color="auto"/>
              <w:right w:val="single" w:sz="8" w:space="0" w:color="auto"/>
            </w:tcBorders>
            <w:vAlign w:val="center"/>
          </w:tcPr>
          <w:p w14:paraId="5F53136C" w14:textId="77777777" w:rsidR="00E3087D" w:rsidRPr="00B7014C" w:rsidRDefault="00E3087D" w:rsidP="00890082">
            <w:pPr>
              <w:jc w:val="center"/>
              <w:rPr>
                <w:b/>
                <w:bCs/>
                <w:color w:val="000000"/>
                <w:sz w:val="22"/>
                <w:szCs w:val="22"/>
                <w:lang w:eastAsia="en-GB"/>
              </w:rPr>
            </w:pPr>
            <w:r>
              <w:rPr>
                <w:b/>
                <w:bCs/>
                <w:color w:val="000000"/>
                <w:sz w:val="22"/>
                <w:szCs w:val="22"/>
                <w:lang w:eastAsia="en-GB"/>
              </w:rPr>
              <w:t>Jan-21</w:t>
            </w:r>
          </w:p>
        </w:tc>
        <w:tc>
          <w:tcPr>
            <w:tcW w:w="488" w:type="pct"/>
            <w:tcBorders>
              <w:top w:val="nil"/>
              <w:left w:val="nil"/>
              <w:bottom w:val="single" w:sz="8" w:space="0" w:color="auto"/>
              <w:right w:val="single" w:sz="8" w:space="0" w:color="auto"/>
            </w:tcBorders>
            <w:vAlign w:val="center"/>
          </w:tcPr>
          <w:p w14:paraId="111CFA31" w14:textId="77777777" w:rsidR="00E3087D" w:rsidRDefault="00E3087D" w:rsidP="00890082">
            <w:pPr>
              <w:jc w:val="center"/>
              <w:rPr>
                <w:b/>
                <w:bCs/>
                <w:color w:val="000000"/>
                <w:sz w:val="22"/>
                <w:szCs w:val="22"/>
                <w:lang w:eastAsia="en-GB"/>
              </w:rPr>
            </w:pPr>
            <w:r>
              <w:rPr>
                <w:b/>
                <w:bCs/>
                <w:color w:val="000000"/>
                <w:sz w:val="22"/>
                <w:szCs w:val="22"/>
                <w:lang w:eastAsia="en-GB"/>
              </w:rPr>
              <w:t>Jan-22</w:t>
            </w:r>
          </w:p>
        </w:tc>
      </w:tr>
      <w:tr w:rsidR="00E3087D" w:rsidRPr="00B7014C" w14:paraId="3AC4AA22" w14:textId="77777777" w:rsidTr="00890082">
        <w:trPr>
          <w:trHeight w:val="60"/>
        </w:trPr>
        <w:tc>
          <w:tcPr>
            <w:tcW w:w="2058" w:type="pct"/>
            <w:tcBorders>
              <w:top w:val="nil"/>
              <w:left w:val="single" w:sz="8" w:space="0" w:color="auto"/>
              <w:bottom w:val="single" w:sz="8" w:space="0" w:color="auto"/>
              <w:right w:val="single" w:sz="8" w:space="0" w:color="auto"/>
            </w:tcBorders>
            <w:shd w:val="clear" w:color="auto" w:fill="auto"/>
            <w:noWrap/>
            <w:vAlign w:val="center"/>
            <w:hideMark/>
          </w:tcPr>
          <w:p w14:paraId="4719EA08" w14:textId="77777777" w:rsidR="00E3087D" w:rsidRPr="00B7014C" w:rsidRDefault="00E3087D" w:rsidP="00890082">
            <w:pPr>
              <w:rPr>
                <w:color w:val="000000"/>
                <w:sz w:val="22"/>
                <w:szCs w:val="22"/>
                <w:lang w:eastAsia="en-GB"/>
              </w:rPr>
            </w:pPr>
            <w:r w:rsidRPr="00B7014C">
              <w:rPr>
                <w:color w:val="000000"/>
                <w:sz w:val="22"/>
                <w:szCs w:val="22"/>
                <w:lang w:eastAsia="en-GB"/>
              </w:rPr>
              <w:t>Primary Schools in Brent</w:t>
            </w:r>
          </w:p>
        </w:tc>
        <w:tc>
          <w:tcPr>
            <w:tcW w:w="502" w:type="pct"/>
            <w:tcBorders>
              <w:top w:val="nil"/>
              <w:left w:val="nil"/>
              <w:bottom w:val="single" w:sz="8" w:space="0" w:color="auto"/>
              <w:right w:val="single" w:sz="8" w:space="0" w:color="auto"/>
            </w:tcBorders>
            <w:shd w:val="clear" w:color="auto" w:fill="auto"/>
            <w:noWrap/>
            <w:vAlign w:val="center"/>
            <w:hideMark/>
          </w:tcPr>
          <w:p w14:paraId="48340F58" w14:textId="77777777" w:rsidR="00E3087D" w:rsidRPr="00B7014C" w:rsidRDefault="00E3087D" w:rsidP="00890082">
            <w:pPr>
              <w:jc w:val="center"/>
              <w:rPr>
                <w:color w:val="000000"/>
                <w:sz w:val="22"/>
                <w:szCs w:val="22"/>
                <w:lang w:eastAsia="en-GB"/>
              </w:rPr>
            </w:pPr>
            <w:r w:rsidRPr="00B7014C">
              <w:rPr>
                <w:color w:val="000000"/>
                <w:sz w:val="22"/>
                <w:szCs w:val="22"/>
                <w:lang w:eastAsia="en-GB"/>
              </w:rPr>
              <w:t>521</w:t>
            </w:r>
          </w:p>
        </w:tc>
        <w:tc>
          <w:tcPr>
            <w:tcW w:w="487" w:type="pct"/>
            <w:tcBorders>
              <w:top w:val="nil"/>
              <w:left w:val="nil"/>
              <w:bottom w:val="single" w:sz="8" w:space="0" w:color="auto"/>
              <w:right w:val="single" w:sz="8" w:space="0" w:color="auto"/>
            </w:tcBorders>
            <w:shd w:val="clear" w:color="auto" w:fill="auto"/>
            <w:noWrap/>
            <w:vAlign w:val="center"/>
            <w:hideMark/>
          </w:tcPr>
          <w:p w14:paraId="103D8607" w14:textId="77777777" w:rsidR="00E3087D" w:rsidRPr="00B7014C" w:rsidRDefault="00E3087D" w:rsidP="00890082">
            <w:pPr>
              <w:jc w:val="center"/>
              <w:rPr>
                <w:color w:val="000000"/>
                <w:sz w:val="22"/>
                <w:szCs w:val="22"/>
                <w:lang w:eastAsia="en-GB"/>
              </w:rPr>
            </w:pPr>
            <w:r w:rsidRPr="00B7014C">
              <w:rPr>
                <w:color w:val="000000"/>
                <w:sz w:val="22"/>
                <w:szCs w:val="22"/>
                <w:lang w:eastAsia="en-GB"/>
              </w:rPr>
              <w:t>514</w:t>
            </w:r>
          </w:p>
        </w:tc>
        <w:tc>
          <w:tcPr>
            <w:tcW w:w="487" w:type="pct"/>
            <w:tcBorders>
              <w:top w:val="nil"/>
              <w:left w:val="nil"/>
              <w:bottom w:val="single" w:sz="8" w:space="0" w:color="auto"/>
              <w:right w:val="single" w:sz="8" w:space="0" w:color="auto"/>
            </w:tcBorders>
            <w:shd w:val="clear" w:color="auto" w:fill="auto"/>
            <w:noWrap/>
            <w:vAlign w:val="center"/>
            <w:hideMark/>
          </w:tcPr>
          <w:p w14:paraId="234B72F7" w14:textId="77777777" w:rsidR="00E3087D" w:rsidRPr="00B7014C" w:rsidRDefault="00E3087D" w:rsidP="00890082">
            <w:pPr>
              <w:jc w:val="center"/>
              <w:rPr>
                <w:color w:val="000000"/>
                <w:sz w:val="22"/>
                <w:szCs w:val="22"/>
                <w:lang w:eastAsia="en-GB"/>
              </w:rPr>
            </w:pPr>
            <w:r w:rsidRPr="00B7014C">
              <w:rPr>
                <w:color w:val="000000"/>
                <w:sz w:val="22"/>
                <w:szCs w:val="22"/>
                <w:lang w:eastAsia="en-GB"/>
              </w:rPr>
              <w:t>501</w:t>
            </w:r>
          </w:p>
        </w:tc>
        <w:tc>
          <w:tcPr>
            <w:tcW w:w="488" w:type="pct"/>
            <w:tcBorders>
              <w:top w:val="nil"/>
              <w:left w:val="nil"/>
              <w:bottom w:val="single" w:sz="8" w:space="0" w:color="auto"/>
              <w:right w:val="single" w:sz="8" w:space="0" w:color="auto"/>
            </w:tcBorders>
            <w:vAlign w:val="center"/>
          </w:tcPr>
          <w:p w14:paraId="20863EF4" w14:textId="77777777" w:rsidR="00E3087D" w:rsidRPr="00B7014C" w:rsidRDefault="00E3087D" w:rsidP="00890082">
            <w:pPr>
              <w:jc w:val="center"/>
              <w:rPr>
                <w:color w:val="000000"/>
                <w:sz w:val="22"/>
                <w:szCs w:val="22"/>
                <w:lang w:eastAsia="en-GB"/>
              </w:rPr>
            </w:pPr>
            <w:r w:rsidRPr="00B7014C">
              <w:rPr>
                <w:color w:val="000000"/>
                <w:sz w:val="22"/>
                <w:szCs w:val="22"/>
                <w:lang w:eastAsia="en-GB"/>
              </w:rPr>
              <w:t>500</w:t>
            </w:r>
          </w:p>
        </w:tc>
        <w:tc>
          <w:tcPr>
            <w:tcW w:w="489" w:type="pct"/>
            <w:tcBorders>
              <w:top w:val="nil"/>
              <w:left w:val="nil"/>
              <w:bottom w:val="single" w:sz="8" w:space="0" w:color="auto"/>
              <w:right w:val="single" w:sz="8" w:space="0" w:color="auto"/>
            </w:tcBorders>
            <w:vAlign w:val="center"/>
          </w:tcPr>
          <w:p w14:paraId="5929EC95" w14:textId="77777777" w:rsidR="00E3087D" w:rsidRPr="00B7014C" w:rsidRDefault="00E3087D" w:rsidP="00890082">
            <w:pPr>
              <w:jc w:val="center"/>
              <w:rPr>
                <w:color w:val="000000"/>
                <w:sz w:val="22"/>
                <w:szCs w:val="22"/>
                <w:lang w:eastAsia="en-GB"/>
              </w:rPr>
            </w:pPr>
            <w:r>
              <w:rPr>
                <w:color w:val="000000"/>
                <w:sz w:val="22"/>
                <w:szCs w:val="22"/>
                <w:lang w:eastAsia="en-GB"/>
              </w:rPr>
              <w:t>515</w:t>
            </w:r>
          </w:p>
        </w:tc>
        <w:tc>
          <w:tcPr>
            <w:tcW w:w="488" w:type="pct"/>
            <w:tcBorders>
              <w:top w:val="nil"/>
              <w:left w:val="nil"/>
              <w:bottom w:val="single" w:sz="8" w:space="0" w:color="auto"/>
              <w:right w:val="single" w:sz="8" w:space="0" w:color="auto"/>
            </w:tcBorders>
            <w:vAlign w:val="center"/>
          </w:tcPr>
          <w:p w14:paraId="3865F715" w14:textId="77777777" w:rsidR="00E3087D" w:rsidRDefault="00E3087D" w:rsidP="00890082">
            <w:pPr>
              <w:jc w:val="center"/>
              <w:rPr>
                <w:color w:val="000000"/>
                <w:sz w:val="22"/>
                <w:szCs w:val="22"/>
                <w:lang w:eastAsia="en-GB"/>
              </w:rPr>
            </w:pPr>
            <w:r>
              <w:rPr>
                <w:color w:val="000000"/>
                <w:sz w:val="22"/>
                <w:szCs w:val="22"/>
                <w:lang w:eastAsia="en-GB"/>
              </w:rPr>
              <w:t>508</w:t>
            </w:r>
          </w:p>
        </w:tc>
      </w:tr>
      <w:tr w:rsidR="00E3087D" w:rsidRPr="00B7014C" w14:paraId="7DB59A1D" w14:textId="77777777" w:rsidTr="00890082">
        <w:trPr>
          <w:trHeight w:val="76"/>
        </w:trPr>
        <w:tc>
          <w:tcPr>
            <w:tcW w:w="2058" w:type="pct"/>
            <w:tcBorders>
              <w:top w:val="nil"/>
              <w:left w:val="single" w:sz="8" w:space="0" w:color="auto"/>
              <w:bottom w:val="single" w:sz="8" w:space="0" w:color="auto"/>
              <w:right w:val="single" w:sz="8" w:space="0" w:color="auto"/>
            </w:tcBorders>
            <w:shd w:val="clear" w:color="auto" w:fill="auto"/>
            <w:noWrap/>
            <w:vAlign w:val="center"/>
            <w:hideMark/>
          </w:tcPr>
          <w:p w14:paraId="25BFBB76" w14:textId="77777777" w:rsidR="00E3087D" w:rsidRPr="00B7014C" w:rsidRDefault="00E3087D" w:rsidP="00890082">
            <w:pPr>
              <w:rPr>
                <w:color w:val="000000"/>
                <w:sz w:val="22"/>
                <w:szCs w:val="22"/>
                <w:lang w:eastAsia="en-GB"/>
              </w:rPr>
            </w:pPr>
            <w:r w:rsidRPr="00B7014C">
              <w:rPr>
                <w:color w:val="000000"/>
                <w:sz w:val="22"/>
                <w:szCs w:val="22"/>
                <w:lang w:eastAsia="en-GB"/>
              </w:rPr>
              <w:t>Primary Schools in Hillingdon</w:t>
            </w:r>
          </w:p>
        </w:tc>
        <w:tc>
          <w:tcPr>
            <w:tcW w:w="502" w:type="pct"/>
            <w:tcBorders>
              <w:top w:val="nil"/>
              <w:left w:val="nil"/>
              <w:bottom w:val="single" w:sz="8" w:space="0" w:color="auto"/>
              <w:right w:val="single" w:sz="8" w:space="0" w:color="auto"/>
            </w:tcBorders>
            <w:shd w:val="clear" w:color="auto" w:fill="auto"/>
            <w:noWrap/>
            <w:vAlign w:val="center"/>
            <w:hideMark/>
          </w:tcPr>
          <w:p w14:paraId="478760EE" w14:textId="77777777" w:rsidR="00E3087D" w:rsidRPr="00B7014C" w:rsidRDefault="00E3087D" w:rsidP="00890082">
            <w:pPr>
              <w:jc w:val="center"/>
              <w:rPr>
                <w:color w:val="000000"/>
                <w:sz w:val="22"/>
                <w:szCs w:val="22"/>
                <w:lang w:eastAsia="en-GB"/>
              </w:rPr>
            </w:pPr>
            <w:r w:rsidRPr="00B7014C">
              <w:rPr>
                <w:color w:val="000000"/>
                <w:sz w:val="22"/>
                <w:szCs w:val="22"/>
                <w:lang w:eastAsia="en-GB"/>
              </w:rPr>
              <w:t>659</w:t>
            </w:r>
          </w:p>
        </w:tc>
        <w:tc>
          <w:tcPr>
            <w:tcW w:w="487" w:type="pct"/>
            <w:tcBorders>
              <w:top w:val="nil"/>
              <w:left w:val="nil"/>
              <w:bottom w:val="single" w:sz="8" w:space="0" w:color="auto"/>
              <w:right w:val="single" w:sz="8" w:space="0" w:color="auto"/>
            </w:tcBorders>
            <w:shd w:val="clear" w:color="auto" w:fill="auto"/>
            <w:noWrap/>
            <w:vAlign w:val="center"/>
            <w:hideMark/>
          </w:tcPr>
          <w:p w14:paraId="2F9E53BE" w14:textId="77777777" w:rsidR="00E3087D" w:rsidRPr="00B7014C" w:rsidRDefault="00E3087D" w:rsidP="00890082">
            <w:pPr>
              <w:jc w:val="center"/>
              <w:rPr>
                <w:color w:val="000000"/>
                <w:sz w:val="22"/>
                <w:szCs w:val="22"/>
                <w:lang w:eastAsia="en-GB"/>
              </w:rPr>
            </w:pPr>
            <w:r w:rsidRPr="00B7014C">
              <w:rPr>
                <w:color w:val="000000"/>
                <w:sz w:val="22"/>
                <w:szCs w:val="22"/>
                <w:lang w:eastAsia="en-GB"/>
              </w:rPr>
              <w:t>621</w:t>
            </w:r>
          </w:p>
        </w:tc>
        <w:tc>
          <w:tcPr>
            <w:tcW w:w="487" w:type="pct"/>
            <w:tcBorders>
              <w:top w:val="nil"/>
              <w:left w:val="nil"/>
              <w:bottom w:val="single" w:sz="8" w:space="0" w:color="auto"/>
              <w:right w:val="single" w:sz="8" w:space="0" w:color="auto"/>
            </w:tcBorders>
            <w:shd w:val="clear" w:color="auto" w:fill="auto"/>
            <w:noWrap/>
            <w:vAlign w:val="center"/>
            <w:hideMark/>
          </w:tcPr>
          <w:p w14:paraId="67FF6C39" w14:textId="77777777" w:rsidR="00E3087D" w:rsidRPr="00B7014C" w:rsidRDefault="00E3087D" w:rsidP="00890082">
            <w:pPr>
              <w:jc w:val="center"/>
              <w:rPr>
                <w:color w:val="000000"/>
                <w:sz w:val="22"/>
                <w:szCs w:val="22"/>
                <w:lang w:eastAsia="en-GB"/>
              </w:rPr>
            </w:pPr>
            <w:r w:rsidRPr="00B7014C">
              <w:rPr>
                <w:color w:val="000000"/>
                <w:sz w:val="22"/>
                <w:szCs w:val="22"/>
                <w:lang w:eastAsia="en-GB"/>
              </w:rPr>
              <w:t>567</w:t>
            </w:r>
          </w:p>
        </w:tc>
        <w:tc>
          <w:tcPr>
            <w:tcW w:w="488" w:type="pct"/>
            <w:tcBorders>
              <w:top w:val="nil"/>
              <w:left w:val="nil"/>
              <w:bottom w:val="single" w:sz="8" w:space="0" w:color="auto"/>
              <w:right w:val="single" w:sz="8" w:space="0" w:color="auto"/>
            </w:tcBorders>
            <w:vAlign w:val="center"/>
          </w:tcPr>
          <w:p w14:paraId="4CE7BC7E" w14:textId="77777777" w:rsidR="00E3087D" w:rsidRPr="00B7014C" w:rsidRDefault="00E3087D" w:rsidP="00890082">
            <w:pPr>
              <w:jc w:val="center"/>
              <w:rPr>
                <w:color w:val="000000"/>
                <w:sz w:val="22"/>
                <w:szCs w:val="22"/>
                <w:lang w:eastAsia="en-GB"/>
              </w:rPr>
            </w:pPr>
            <w:r w:rsidRPr="00B7014C">
              <w:rPr>
                <w:color w:val="000000"/>
                <w:sz w:val="22"/>
                <w:szCs w:val="22"/>
                <w:lang w:eastAsia="en-GB"/>
              </w:rPr>
              <w:t>538</w:t>
            </w:r>
          </w:p>
        </w:tc>
        <w:tc>
          <w:tcPr>
            <w:tcW w:w="489" w:type="pct"/>
            <w:tcBorders>
              <w:top w:val="nil"/>
              <w:left w:val="nil"/>
              <w:bottom w:val="single" w:sz="8" w:space="0" w:color="auto"/>
              <w:right w:val="single" w:sz="8" w:space="0" w:color="auto"/>
            </w:tcBorders>
            <w:vAlign w:val="center"/>
          </w:tcPr>
          <w:p w14:paraId="71371C4A" w14:textId="77777777" w:rsidR="00E3087D" w:rsidRPr="00B7014C" w:rsidRDefault="00E3087D" w:rsidP="00890082">
            <w:pPr>
              <w:jc w:val="center"/>
              <w:rPr>
                <w:color w:val="000000"/>
                <w:sz w:val="22"/>
                <w:szCs w:val="22"/>
                <w:lang w:eastAsia="en-GB"/>
              </w:rPr>
            </w:pPr>
            <w:r>
              <w:rPr>
                <w:color w:val="000000"/>
                <w:sz w:val="22"/>
                <w:szCs w:val="22"/>
                <w:lang w:eastAsia="en-GB"/>
              </w:rPr>
              <w:t>462</w:t>
            </w:r>
          </w:p>
        </w:tc>
        <w:tc>
          <w:tcPr>
            <w:tcW w:w="488" w:type="pct"/>
            <w:tcBorders>
              <w:top w:val="nil"/>
              <w:left w:val="nil"/>
              <w:bottom w:val="single" w:sz="8" w:space="0" w:color="auto"/>
              <w:right w:val="single" w:sz="8" w:space="0" w:color="auto"/>
            </w:tcBorders>
            <w:vAlign w:val="center"/>
          </w:tcPr>
          <w:p w14:paraId="6A454003" w14:textId="77777777" w:rsidR="00E3087D" w:rsidRDefault="00E3087D" w:rsidP="00890082">
            <w:pPr>
              <w:jc w:val="center"/>
              <w:rPr>
                <w:color w:val="000000"/>
                <w:sz w:val="22"/>
                <w:szCs w:val="22"/>
                <w:lang w:eastAsia="en-GB"/>
              </w:rPr>
            </w:pPr>
            <w:r>
              <w:rPr>
                <w:color w:val="000000"/>
                <w:sz w:val="22"/>
                <w:szCs w:val="22"/>
                <w:lang w:eastAsia="en-GB"/>
              </w:rPr>
              <w:t>442</w:t>
            </w:r>
          </w:p>
        </w:tc>
      </w:tr>
      <w:tr w:rsidR="00E3087D" w:rsidRPr="00B7014C" w14:paraId="32E6B2D5" w14:textId="77777777" w:rsidTr="00890082">
        <w:trPr>
          <w:trHeight w:val="300"/>
        </w:trPr>
        <w:tc>
          <w:tcPr>
            <w:tcW w:w="2058" w:type="pct"/>
            <w:tcBorders>
              <w:top w:val="nil"/>
              <w:left w:val="single" w:sz="8" w:space="0" w:color="auto"/>
              <w:bottom w:val="single" w:sz="8" w:space="0" w:color="auto"/>
              <w:right w:val="single" w:sz="8" w:space="0" w:color="auto"/>
            </w:tcBorders>
            <w:shd w:val="clear" w:color="auto" w:fill="auto"/>
            <w:noWrap/>
            <w:vAlign w:val="center"/>
            <w:hideMark/>
          </w:tcPr>
          <w:p w14:paraId="3AE6415F" w14:textId="77777777" w:rsidR="00E3087D" w:rsidRPr="00B7014C" w:rsidRDefault="00E3087D" w:rsidP="00890082">
            <w:pPr>
              <w:rPr>
                <w:color w:val="000000"/>
                <w:sz w:val="22"/>
                <w:szCs w:val="22"/>
                <w:lang w:eastAsia="en-GB"/>
              </w:rPr>
            </w:pPr>
            <w:r w:rsidRPr="00B7014C">
              <w:rPr>
                <w:color w:val="000000"/>
                <w:sz w:val="22"/>
                <w:szCs w:val="22"/>
                <w:lang w:eastAsia="en-GB"/>
              </w:rPr>
              <w:t>Primary Schools in Barnet</w:t>
            </w:r>
          </w:p>
        </w:tc>
        <w:tc>
          <w:tcPr>
            <w:tcW w:w="502" w:type="pct"/>
            <w:tcBorders>
              <w:top w:val="nil"/>
              <w:left w:val="nil"/>
              <w:bottom w:val="single" w:sz="8" w:space="0" w:color="auto"/>
              <w:right w:val="single" w:sz="8" w:space="0" w:color="auto"/>
            </w:tcBorders>
            <w:shd w:val="clear" w:color="auto" w:fill="auto"/>
            <w:noWrap/>
            <w:vAlign w:val="center"/>
            <w:hideMark/>
          </w:tcPr>
          <w:p w14:paraId="2E66B6A6" w14:textId="77777777" w:rsidR="00E3087D" w:rsidRPr="00B7014C" w:rsidRDefault="00E3087D" w:rsidP="00890082">
            <w:pPr>
              <w:jc w:val="center"/>
              <w:rPr>
                <w:color w:val="000000"/>
                <w:sz w:val="22"/>
                <w:szCs w:val="22"/>
                <w:lang w:eastAsia="en-GB"/>
              </w:rPr>
            </w:pPr>
            <w:r w:rsidRPr="00B7014C">
              <w:rPr>
                <w:color w:val="000000"/>
                <w:sz w:val="22"/>
                <w:szCs w:val="22"/>
                <w:lang w:eastAsia="en-GB"/>
              </w:rPr>
              <w:t>431</w:t>
            </w:r>
          </w:p>
        </w:tc>
        <w:tc>
          <w:tcPr>
            <w:tcW w:w="487" w:type="pct"/>
            <w:tcBorders>
              <w:top w:val="nil"/>
              <w:left w:val="nil"/>
              <w:bottom w:val="single" w:sz="8" w:space="0" w:color="auto"/>
              <w:right w:val="single" w:sz="8" w:space="0" w:color="auto"/>
            </w:tcBorders>
            <w:shd w:val="clear" w:color="auto" w:fill="auto"/>
            <w:noWrap/>
            <w:vAlign w:val="center"/>
            <w:hideMark/>
          </w:tcPr>
          <w:p w14:paraId="3579CFAE" w14:textId="77777777" w:rsidR="00E3087D" w:rsidRPr="00B7014C" w:rsidRDefault="00E3087D" w:rsidP="00890082">
            <w:pPr>
              <w:jc w:val="center"/>
              <w:rPr>
                <w:color w:val="000000"/>
                <w:sz w:val="22"/>
                <w:szCs w:val="22"/>
                <w:lang w:eastAsia="en-GB"/>
              </w:rPr>
            </w:pPr>
            <w:r w:rsidRPr="00B7014C">
              <w:rPr>
                <w:color w:val="000000"/>
                <w:sz w:val="22"/>
                <w:szCs w:val="22"/>
                <w:lang w:eastAsia="en-GB"/>
              </w:rPr>
              <w:t>419</w:t>
            </w:r>
          </w:p>
        </w:tc>
        <w:tc>
          <w:tcPr>
            <w:tcW w:w="487" w:type="pct"/>
            <w:tcBorders>
              <w:top w:val="nil"/>
              <w:left w:val="nil"/>
              <w:bottom w:val="single" w:sz="8" w:space="0" w:color="auto"/>
              <w:right w:val="single" w:sz="8" w:space="0" w:color="auto"/>
            </w:tcBorders>
            <w:shd w:val="clear" w:color="auto" w:fill="auto"/>
            <w:noWrap/>
            <w:vAlign w:val="center"/>
            <w:hideMark/>
          </w:tcPr>
          <w:p w14:paraId="1D2103BB" w14:textId="77777777" w:rsidR="00E3087D" w:rsidRPr="00B7014C" w:rsidRDefault="00E3087D" w:rsidP="00890082">
            <w:pPr>
              <w:jc w:val="center"/>
              <w:rPr>
                <w:color w:val="000000"/>
                <w:sz w:val="22"/>
                <w:szCs w:val="22"/>
                <w:lang w:eastAsia="en-GB"/>
              </w:rPr>
            </w:pPr>
            <w:r w:rsidRPr="00B7014C">
              <w:rPr>
                <w:color w:val="000000"/>
                <w:sz w:val="22"/>
                <w:szCs w:val="22"/>
                <w:lang w:eastAsia="en-GB"/>
              </w:rPr>
              <w:t>398</w:t>
            </w:r>
          </w:p>
        </w:tc>
        <w:tc>
          <w:tcPr>
            <w:tcW w:w="488" w:type="pct"/>
            <w:tcBorders>
              <w:top w:val="nil"/>
              <w:left w:val="nil"/>
              <w:bottom w:val="single" w:sz="8" w:space="0" w:color="auto"/>
              <w:right w:val="single" w:sz="8" w:space="0" w:color="auto"/>
            </w:tcBorders>
            <w:vAlign w:val="center"/>
          </w:tcPr>
          <w:p w14:paraId="1698D548" w14:textId="77777777" w:rsidR="00E3087D" w:rsidRPr="00B7014C" w:rsidRDefault="00E3087D" w:rsidP="00890082">
            <w:pPr>
              <w:jc w:val="center"/>
              <w:rPr>
                <w:color w:val="000000"/>
                <w:sz w:val="22"/>
                <w:szCs w:val="22"/>
                <w:lang w:eastAsia="en-GB"/>
              </w:rPr>
            </w:pPr>
            <w:r w:rsidRPr="00B7014C">
              <w:rPr>
                <w:color w:val="000000"/>
                <w:sz w:val="22"/>
                <w:szCs w:val="22"/>
                <w:lang w:eastAsia="en-GB"/>
              </w:rPr>
              <w:t>385</w:t>
            </w:r>
          </w:p>
        </w:tc>
        <w:tc>
          <w:tcPr>
            <w:tcW w:w="489" w:type="pct"/>
            <w:tcBorders>
              <w:top w:val="nil"/>
              <w:left w:val="nil"/>
              <w:bottom w:val="single" w:sz="8" w:space="0" w:color="auto"/>
              <w:right w:val="single" w:sz="8" w:space="0" w:color="auto"/>
            </w:tcBorders>
            <w:vAlign w:val="center"/>
          </w:tcPr>
          <w:p w14:paraId="003AF56A" w14:textId="77777777" w:rsidR="00E3087D" w:rsidRPr="00B7014C" w:rsidRDefault="00E3087D" w:rsidP="00890082">
            <w:pPr>
              <w:jc w:val="center"/>
              <w:rPr>
                <w:color w:val="000000"/>
                <w:sz w:val="22"/>
                <w:szCs w:val="22"/>
                <w:lang w:eastAsia="en-GB"/>
              </w:rPr>
            </w:pPr>
            <w:r>
              <w:rPr>
                <w:color w:val="000000"/>
                <w:sz w:val="22"/>
                <w:szCs w:val="22"/>
                <w:lang w:eastAsia="en-GB"/>
              </w:rPr>
              <w:t>359</w:t>
            </w:r>
          </w:p>
        </w:tc>
        <w:tc>
          <w:tcPr>
            <w:tcW w:w="488" w:type="pct"/>
            <w:tcBorders>
              <w:top w:val="nil"/>
              <w:left w:val="nil"/>
              <w:bottom w:val="single" w:sz="8" w:space="0" w:color="auto"/>
              <w:right w:val="single" w:sz="8" w:space="0" w:color="auto"/>
            </w:tcBorders>
            <w:vAlign w:val="center"/>
          </w:tcPr>
          <w:p w14:paraId="70E59735" w14:textId="77777777" w:rsidR="00E3087D" w:rsidRDefault="00E3087D" w:rsidP="00890082">
            <w:pPr>
              <w:jc w:val="center"/>
              <w:rPr>
                <w:color w:val="000000"/>
                <w:sz w:val="22"/>
                <w:szCs w:val="22"/>
                <w:lang w:eastAsia="en-GB"/>
              </w:rPr>
            </w:pPr>
            <w:r>
              <w:rPr>
                <w:color w:val="000000"/>
                <w:sz w:val="22"/>
                <w:szCs w:val="22"/>
                <w:lang w:eastAsia="en-GB"/>
              </w:rPr>
              <w:t>350</w:t>
            </w:r>
          </w:p>
        </w:tc>
      </w:tr>
      <w:tr w:rsidR="00E3087D" w:rsidRPr="00B7014C" w14:paraId="6660BB11" w14:textId="77777777" w:rsidTr="00890082">
        <w:trPr>
          <w:trHeight w:val="88"/>
        </w:trPr>
        <w:tc>
          <w:tcPr>
            <w:tcW w:w="2058" w:type="pct"/>
            <w:tcBorders>
              <w:top w:val="nil"/>
              <w:left w:val="single" w:sz="8" w:space="0" w:color="auto"/>
              <w:bottom w:val="single" w:sz="8" w:space="0" w:color="auto"/>
              <w:right w:val="single" w:sz="8" w:space="0" w:color="auto"/>
            </w:tcBorders>
            <w:shd w:val="clear" w:color="auto" w:fill="auto"/>
            <w:noWrap/>
            <w:vAlign w:val="center"/>
            <w:hideMark/>
          </w:tcPr>
          <w:p w14:paraId="576770DE" w14:textId="77777777" w:rsidR="00E3087D" w:rsidRPr="00B7014C" w:rsidRDefault="00E3087D" w:rsidP="00890082">
            <w:pPr>
              <w:rPr>
                <w:color w:val="000000"/>
                <w:sz w:val="22"/>
                <w:szCs w:val="22"/>
                <w:lang w:eastAsia="en-GB"/>
              </w:rPr>
            </w:pPr>
            <w:r w:rsidRPr="00B7014C">
              <w:rPr>
                <w:color w:val="000000"/>
                <w:sz w:val="22"/>
                <w:szCs w:val="22"/>
                <w:lang w:eastAsia="en-GB"/>
              </w:rPr>
              <w:t>Primary Schools in Ealing</w:t>
            </w:r>
          </w:p>
        </w:tc>
        <w:tc>
          <w:tcPr>
            <w:tcW w:w="502" w:type="pct"/>
            <w:tcBorders>
              <w:top w:val="nil"/>
              <w:left w:val="nil"/>
              <w:bottom w:val="single" w:sz="8" w:space="0" w:color="auto"/>
              <w:right w:val="single" w:sz="8" w:space="0" w:color="auto"/>
            </w:tcBorders>
            <w:shd w:val="clear" w:color="auto" w:fill="auto"/>
            <w:noWrap/>
            <w:vAlign w:val="center"/>
            <w:hideMark/>
          </w:tcPr>
          <w:p w14:paraId="3661C62C" w14:textId="77777777" w:rsidR="00E3087D" w:rsidRPr="00B7014C" w:rsidRDefault="00E3087D" w:rsidP="00890082">
            <w:pPr>
              <w:jc w:val="center"/>
              <w:rPr>
                <w:color w:val="000000"/>
                <w:sz w:val="22"/>
                <w:szCs w:val="22"/>
                <w:lang w:eastAsia="en-GB"/>
              </w:rPr>
            </w:pPr>
            <w:r w:rsidRPr="00B7014C">
              <w:rPr>
                <w:color w:val="000000"/>
                <w:sz w:val="22"/>
                <w:szCs w:val="22"/>
                <w:lang w:eastAsia="en-GB"/>
              </w:rPr>
              <w:t>155</w:t>
            </w:r>
          </w:p>
        </w:tc>
        <w:tc>
          <w:tcPr>
            <w:tcW w:w="487" w:type="pct"/>
            <w:tcBorders>
              <w:top w:val="nil"/>
              <w:left w:val="nil"/>
              <w:bottom w:val="single" w:sz="8" w:space="0" w:color="auto"/>
              <w:right w:val="single" w:sz="8" w:space="0" w:color="auto"/>
            </w:tcBorders>
            <w:shd w:val="clear" w:color="auto" w:fill="auto"/>
            <w:noWrap/>
            <w:vAlign w:val="center"/>
            <w:hideMark/>
          </w:tcPr>
          <w:p w14:paraId="5FFC516F" w14:textId="77777777" w:rsidR="00E3087D" w:rsidRPr="00B7014C" w:rsidRDefault="00E3087D" w:rsidP="00890082">
            <w:pPr>
              <w:jc w:val="center"/>
              <w:rPr>
                <w:color w:val="000000"/>
                <w:sz w:val="22"/>
                <w:szCs w:val="22"/>
                <w:lang w:eastAsia="en-GB"/>
              </w:rPr>
            </w:pPr>
            <w:r w:rsidRPr="00B7014C">
              <w:rPr>
                <w:color w:val="000000"/>
                <w:sz w:val="22"/>
                <w:szCs w:val="22"/>
                <w:lang w:eastAsia="en-GB"/>
              </w:rPr>
              <w:t>147</w:t>
            </w:r>
          </w:p>
        </w:tc>
        <w:tc>
          <w:tcPr>
            <w:tcW w:w="487" w:type="pct"/>
            <w:tcBorders>
              <w:top w:val="nil"/>
              <w:left w:val="nil"/>
              <w:bottom w:val="single" w:sz="8" w:space="0" w:color="auto"/>
              <w:right w:val="single" w:sz="8" w:space="0" w:color="auto"/>
            </w:tcBorders>
            <w:shd w:val="clear" w:color="auto" w:fill="auto"/>
            <w:noWrap/>
            <w:vAlign w:val="center"/>
            <w:hideMark/>
          </w:tcPr>
          <w:p w14:paraId="6DCD0C27" w14:textId="77777777" w:rsidR="00E3087D" w:rsidRPr="00B7014C" w:rsidRDefault="00E3087D" w:rsidP="00890082">
            <w:pPr>
              <w:jc w:val="center"/>
              <w:rPr>
                <w:color w:val="000000"/>
                <w:sz w:val="22"/>
                <w:szCs w:val="22"/>
                <w:lang w:eastAsia="en-GB"/>
              </w:rPr>
            </w:pPr>
            <w:r w:rsidRPr="00B7014C">
              <w:rPr>
                <w:color w:val="000000"/>
                <w:sz w:val="22"/>
                <w:szCs w:val="22"/>
                <w:lang w:eastAsia="en-GB"/>
              </w:rPr>
              <w:t>164</w:t>
            </w:r>
          </w:p>
        </w:tc>
        <w:tc>
          <w:tcPr>
            <w:tcW w:w="488" w:type="pct"/>
            <w:tcBorders>
              <w:top w:val="nil"/>
              <w:left w:val="nil"/>
              <w:bottom w:val="single" w:sz="8" w:space="0" w:color="auto"/>
              <w:right w:val="single" w:sz="8" w:space="0" w:color="auto"/>
            </w:tcBorders>
            <w:vAlign w:val="center"/>
          </w:tcPr>
          <w:p w14:paraId="6E582588" w14:textId="77777777" w:rsidR="00E3087D" w:rsidRPr="00B7014C" w:rsidRDefault="00E3087D" w:rsidP="00890082">
            <w:pPr>
              <w:jc w:val="center"/>
              <w:rPr>
                <w:color w:val="000000"/>
                <w:sz w:val="22"/>
                <w:szCs w:val="22"/>
                <w:lang w:eastAsia="en-GB"/>
              </w:rPr>
            </w:pPr>
            <w:r w:rsidRPr="00B7014C">
              <w:rPr>
                <w:color w:val="000000"/>
                <w:sz w:val="22"/>
                <w:szCs w:val="22"/>
                <w:lang w:eastAsia="en-GB"/>
              </w:rPr>
              <w:t>160</w:t>
            </w:r>
          </w:p>
        </w:tc>
        <w:tc>
          <w:tcPr>
            <w:tcW w:w="489" w:type="pct"/>
            <w:tcBorders>
              <w:top w:val="nil"/>
              <w:left w:val="nil"/>
              <w:bottom w:val="single" w:sz="8" w:space="0" w:color="auto"/>
              <w:right w:val="single" w:sz="8" w:space="0" w:color="auto"/>
            </w:tcBorders>
            <w:vAlign w:val="center"/>
          </w:tcPr>
          <w:p w14:paraId="46A4CBDD" w14:textId="77777777" w:rsidR="00E3087D" w:rsidRPr="00B7014C" w:rsidRDefault="00E3087D" w:rsidP="00890082">
            <w:pPr>
              <w:jc w:val="center"/>
              <w:rPr>
                <w:color w:val="000000"/>
                <w:sz w:val="22"/>
                <w:szCs w:val="22"/>
                <w:lang w:eastAsia="en-GB"/>
              </w:rPr>
            </w:pPr>
            <w:r>
              <w:rPr>
                <w:color w:val="000000"/>
                <w:sz w:val="22"/>
                <w:szCs w:val="22"/>
                <w:lang w:eastAsia="en-GB"/>
              </w:rPr>
              <w:t>171</w:t>
            </w:r>
          </w:p>
        </w:tc>
        <w:tc>
          <w:tcPr>
            <w:tcW w:w="488" w:type="pct"/>
            <w:tcBorders>
              <w:top w:val="nil"/>
              <w:left w:val="nil"/>
              <w:bottom w:val="single" w:sz="8" w:space="0" w:color="auto"/>
              <w:right w:val="single" w:sz="8" w:space="0" w:color="auto"/>
            </w:tcBorders>
            <w:vAlign w:val="center"/>
          </w:tcPr>
          <w:p w14:paraId="3B2DC80F" w14:textId="77777777" w:rsidR="00E3087D" w:rsidRDefault="00E3087D" w:rsidP="00890082">
            <w:pPr>
              <w:jc w:val="center"/>
              <w:rPr>
                <w:color w:val="000000"/>
                <w:sz w:val="22"/>
                <w:szCs w:val="22"/>
                <w:lang w:eastAsia="en-GB"/>
              </w:rPr>
            </w:pPr>
            <w:r>
              <w:rPr>
                <w:color w:val="000000"/>
                <w:sz w:val="22"/>
                <w:szCs w:val="22"/>
                <w:lang w:eastAsia="en-GB"/>
              </w:rPr>
              <w:t>154</w:t>
            </w:r>
          </w:p>
        </w:tc>
      </w:tr>
      <w:tr w:rsidR="00E3087D" w:rsidRPr="00B7014C" w14:paraId="369642BF" w14:textId="77777777" w:rsidTr="00890082">
        <w:trPr>
          <w:trHeight w:val="50"/>
        </w:trPr>
        <w:tc>
          <w:tcPr>
            <w:tcW w:w="2058" w:type="pct"/>
            <w:tcBorders>
              <w:top w:val="nil"/>
              <w:left w:val="single" w:sz="8" w:space="0" w:color="auto"/>
              <w:bottom w:val="single" w:sz="8" w:space="0" w:color="auto"/>
              <w:right w:val="single" w:sz="8" w:space="0" w:color="auto"/>
            </w:tcBorders>
            <w:shd w:val="clear" w:color="auto" w:fill="auto"/>
            <w:noWrap/>
            <w:vAlign w:val="center"/>
            <w:hideMark/>
          </w:tcPr>
          <w:p w14:paraId="27F5704A" w14:textId="77777777" w:rsidR="00E3087D" w:rsidRPr="00B7014C" w:rsidRDefault="00E3087D" w:rsidP="00890082">
            <w:pPr>
              <w:rPr>
                <w:color w:val="000000"/>
                <w:sz w:val="22"/>
                <w:szCs w:val="22"/>
                <w:lang w:eastAsia="en-GB"/>
              </w:rPr>
            </w:pPr>
            <w:r w:rsidRPr="00B7014C">
              <w:rPr>
                <w:color w:val="000000"/>
                <w:sz w:val="22"/>
                <w:szCs w:val="22"/>
                <w:lang w:eastAsia="en-GB"/>
              </w:rPr>
              <w:t>Primary Schools in Hertfordshire</w:t>
            </w:r>
          </w:p>
        </w:tc>
        <w:tc>
          <w:tcPr>
            <w:tcW w:w="502" w:type="pct"/>
            <w:tcBorders>
              <w:top w:val="nil"/>
              <w:left w:val="nil"/>
              <w:bottom w:val="single" w:sz="8" w:space="0" w:color="auto"/>
              <w:right w:val="single" w:sz="8" w:space="0" w:color="auto"/>
            </w:tcBorders>
            <w:shd w:val="clear" w:color="auto" w:fill="auto"/>
            <w:noWrap/>
            <w:vAlign w:val="center"/>
            <w:hideMark/>
          </w:tcPr>
          <w:p w14:paraId="0DE19D0E" w14:textId="77777777" w:rsidR="00E3087D" w:rsidRPr="00B7014C" w:rsidRDefault="00E3087D" w:rsidP="00890082">
            <w:pPr>
              <w:jc w:val="center"/>
              <w:rPr>
                <w:color w:val="000000"/>
                <w:sz w:val="22"/>
                <w:szCs w:val="22"/>
                <w:lang w:eastAsia="en-GB"/>
              </w:rPr>
            </w:pPr>
            <w:r w:rsidRPr="00B7014C">
              <w:rPr>
                <w:color w:val="000000"/>
                <w:sz w:val="22"/>
                <w:szCs w:val="22"/>
                <w:lang w:eastAsia="en-GB"/>
              </w:rPr>
              <w:t>110</w:t>
            </w:r>
          </w:p>
        </w:tc>
        <w:tc>
          <w:tcPr>
            <w:tcW w:w="487" w:type="pct"/>
            <w:tcBorders>
              <w:top w:val="nil"/>
              <w:left w:val="nil"/>
              <w:bottom w:val="single" w:sz="8" w:space="0" w:color="auto"/>
              <w:right w:val="single" w:sz="8" w:space="0" w:color="auto"/>
            </w:tcBorders>
            <w:shd w:val="clear" w:color="auto" w:fill="auto"/>
            <w:noWrap/>
            <w:vAlign w:val="center"/>
            <w:hideMark/>
          </w:tcPr>
          <w:p w14:paraId="2352D138" w14:textId="77777777" w:rsidR="00E3087D" w:rsidRPr="00B7014C" w:rsidRDefault="00E3087D" w:rsidP="00890082">
            <w:pPr>
              <w:jc w:val="center"/>
              <w:rPr>
                <w:color w:val="000000"/>
                <w:sz w:val="22"/>
                <w:szCs w:val="22"/>
                <w:lang w:eastAsia="en-GB"/>
              </w:rPr>
            </w:pPr>
            <w:r w:rsidRPr="00B7014C">
              <w:rPr>
                <w:color w:val="000000"/>
                <w:sz w:val="22"/>
                <w:szCs w:val="22"/>
                <w:lang w:eastAsia="en-GB"/>
              </w:rPr>
              <w:t>124</w:t>
            </w:r>
          </w:p>
        </w:tc>
        <w:tc>
          <w:tcPr>
            <w:tcW w:w="487" w:type="pct"/>
            <w:tcBorders>
              <w:top w:val="nil"/>
              <w:left w:val="nil"/>
              <w:bottom w:val="single" w:sz="8" w:space="0" w:color="auto"/>
              <w:right w:val="single" w:sz="8" w:space="0" w:color="auto"/>
            </w:tcBorders>
            <w:shd w:val="clear" w:color="auto" w:fill="auto"/>
            <w:noWrap/>
            <w:vAlign w:val="center"/>
            <w:hideMark/>
          </w:tcPr>
          <w:p w14:paraId="3B310E7C" w14:textId="77777777" w:rsidR="00E3087D" w:rsidRPr="00B7014C" w:rsidRDefault="00E3087D" w:rsidP="00890082">
            <w:pPr>
              <w:jc w:val="center"/>
              <w:rPr>
                <w:color w:val="000000"/>
                <w:sz w:val="22"/>
                <w:szCs w:val="22"/>
                <w:lang w:eastAsia="en-GB"/>
              </w:rPr>
            </w:pPr>
            <w:r w:rsidRPr="00B7014C">
              <w:rPr>
                <w:color w:val="000000"/>
                <w:sz w:val="22"/>
                <w:szCs w:val="22"/>
                <w:lang w:eastAsia="en-GB"/>
              </w:rPr>
              <w:t>114</w:t>
            </w:r>
          </w:p>
        </w:tc>
        <w:tc>
          <w:tcPr>
            <w:tcW w:w="488" w:type="pct"/>
            <w:tcBorders>
              <w:top w:val="nil"/>
              <w:left w:val="nil"/>
              <w:bottom w:val="single" w:sz="8" w:space="0" w:color="auto"/>
              <w:right w:val="single" w:sz="8" w:space="0" w:color="auto"/>
            </w:tcBorders>
            <w:vAlign w:val="center"/>
          </w:tcPr>
          <w:p w14:paraId="64058D47" w14:textId="77777777" w:rsidR="00E3087D" w:rsidRPr="00B7014C" w:rsidRDefault="00E3087D" w:rsidP="00890082">
            <w:pPr>
              <w:jc w:val="center"/>
              <w:rPr>
                <w:color w:val="000000"/>
                <w:sz w:val="22"/>
                <w:szCs w:val="22"/>
                <w:lang w:eastAsia="en-GB"/>
              </w:rPr>
            </w:pPr>
            <w:r w:rsidRPr="00B7014C">
              <w:rPr>
                <w:color w:val="000000"/>
                <w:sz w:val="22"/>
                <w:szCs w:val="22"/>
                <w:lang w:eastAsia="en-GB"/>
              </w:rPr>
              <w:t>85</w:t>
            </w:r>
          </w:p>
        </w:tc>
        <w:tc>
          <w:tcPr>
            <w:tcW w:w="489" w:type="pct"/>
            <w:tcBorders>
              <w:top w:val="nil"/>
              <w:left w:val="nil"/>
              <w:bottom w:val="single" w:sz="8" w:space="0" w:color="auto"/>
              <w:right w:val="single" w:sz="8" w:space="0" w:color="auto"/>
            </w:tcBorders>
            <w:vAlign w:val="center"/>
          </w:tcPr>
          <w:p w14:paraId="4409BBA7" w14:textId="77777777" w:rsidR="00E3087D" w:rsidRPr="00B7014C" w:rsidRDefault="00E3087D" w:rsidP="00890082">
            <w:pPr>
              <w:jc w:val="center"/>
              <w:rPr>
                <w:color w:val="000000"/>
                <w:sz w:val="22"/>
                <w:szCs w:val="22"/>
                <w:lang w:eastAsia="en-GB"/>
              </w:rPr>
            </w:pPr>
            <w:r>
              <w:rPr>
                <w:color w:val="000000"/>
                <w:sz w:val="22"/>
                <w:szCs w:val="22"/>
                <w:lang w:eastAsia="en-GB"/>
              </w:rPr>
              <w:t>92</w:t>
            </w:r>
          </w:p>
        </w:tc>
        <w:tc>
          <w:tcPr>
            <w:tcW w:w="488" w:type="pct"/>
            <w:tcBorders>
              <w:top w:val="nil"/>
              <w:left w:val="nil"/>
              <w:bottom w:val="single" w:sz="8" w:space="0" w:color="auto"/>
              <w:right w:val="single" w:sz="8" w:space="0" w:color="auto"/>
            </w:tcBorders>
            <w:vAlign w:val="center"/>
          </w:tcPr>
          <w:p w14:paraId="4470CDDC" w14:textId="77777777" w:rsidR="00E3087D" w:rsidRDefault="00E3087D" w:rsidP="00890082">
            <w:pPr>
              <w:jc w:val="center"/>
              <w:rPr>
                <w:color w:val="000000"/>
                <w:sz w:val="22"/>
                <w:szCs w:val="22"/>
                <w:lang w:eastAsia="en-GB"/>
              </w:rPr>
            </w:pPr>
            <w:r>
              <w:rPr>
                <w:color w:val="000000"/>
                <w:sz w:val="22"/>
                <w:szCs w:val="22"/>
                <w:lang w:eastAsia="en-GB"/>
              </w:rPr>
              <w:t>87</w:t>
            </w:r>
          </w:p>
        </w:tc>
      </w:tr>
      <w:tr w:rsidR="00E3087D" w:rsidRPr="00B7014C" w14:paraId="7D9B44B1" w14:textId="77777777" w:rsidTr="00890082">
        <w:trPr>
          <w:trHeight w:val="40"/>
        </w:trPr>
        <w:tc>
          <w:tcPr>
            <w:tcW w:w="2058" w:type="pct"/>
            <w:tcBorders>
              <w:top w:val="nil"/>
              <w:left w:val="single" w:sz="8" w:space="0" w:color="auto"/>
              <w:bottom w:val="single" w:sz="8" w:space="0" w:color="auto"/>
              <w:right w:val="single" w:sz="8" w:space="0" w:color="auto"/>
            </w:tcBorders>
            <w:shd w:val="clear" w:color="auto" w:fill="auto"/>
            <w:noWrap/>
            <w:vAlign w:val="center"/>
            <w:hideMark/>
          </w:tcPr>
          <w:p w14:paraId="3D8B5A5A" w14:textId="77777777" w:rsidR="00E3087D" w:rsidRPr="00B7014C" w:rsidRDefault="00E3087D" w:rsidP="00890082">
            <w:pPr>
              <w:rPr>
                <w:color w:val="000000"/>
                <w:sz w:val="22"/>
                <w:szCs w:val="22"/>
                <w:lang w:eastAsia="en-GB"/>
              </w:rPr>
            </w:pPr>
            <w:r w:rsidRPr="00B7014C">
              <w:rPr>
                <w:color w:val="000000"/>
                <w:sz w:val="22"/>
                <w:szCs w:val="22"/>
                <w:lang w:eastAsia="en-GB"/>
              </w:rPr>
              <w:t>Other LAs</w:t>
            </w:r>
          </w:p>
        </w:tc>
        <w:tc>
          <w:tcPr>
            <w:tcW w:w="502" w:type="pct"/>
            <w:tcBorders>
              <w:top w:val="nil"/>
              <w:left w:val="nil"/>
              <w:bottom w:val="single" w:sz="8" w:space="0" w:color="auto"/>
              <w:right w:val="single" w:sz="8" w:space="0" w:color="auto"/>
            </w:tcBorders>
            <w:shd w:val="clear" w:color="auto" w:fill="auto"/>
            <w:noWrap/>
            <w:vAlign w:val="center"/>
            <w:hideMark/>
          </w:tcPr>
          <w:p w14:paraId="2615F4AE" w14:textId="77777777" w:rsidR="00E3087D" w:rsidRPr="00B7014C" w:rsidRDefault="00E3087D" w:rsidP="00890082">
            <w:pPr>
              <w:jc w:val="center"/>
              <w:rPr>
                <w:color w:val="000000"/>
                <w:sz w:val="22"/>
                <w:szCs w:val="22"/>
                <w:lang w:eastAsia="en-GB"/>
              </w:rPr>
            </w:pPr>
            <w:r w:rsidRPr="00B7014C">
              <w:rPr>
                <w:color w:val="000000"/>
                <w:sz w:val="22"/>
                <w:szCs w:val="22"/>
                <w:lang w:eastAsia="en-GB"/>
              </w:rPr>
              <w:t>44</w:t>
            </w:r>
          </w:p>
        </w:tc>
        <w:tc>
          <w:tcPr>
            <w:tcW w:w="487" w:type="pct"/>
            <w:tcBorders>
              <w:top w:val="nil"/>
              <w:left w:val="nil"/>
              <w:bottom w:val="single" w:sz="8" w:space="0" w:color="auto"/>
              <w:right w:val="single" w:sz="8" w:space="0" w:color="auto"/>
            </w:tcBorders>
            <w:shd w:val="clear" w:color="auto" w:fill="auto"/>
            <w:noWrap/>
            <w:vAlign w:val="center"/>
            <w:hideMark/>
          </w:tcPr>
          <w:p w14:paraId="335883B7" w14:textId="77777777" w:rsidR="00E3087D" w:rsidRPr="00B7014C" w:rsidRDefault="00E3087D" w:rsidP="00890082">
            <w:pPr>
              <w:jc w:val="center"/>
              <w:rPr>
                <w:color w:val="000000"/>
                <w:sz w:val="22"/>
                <w:szCs w:val="22"/>
                <w:lang w:eastAsia="en-GB"/>
              </w:rPr>
            </w:pPr>
            <w:r w:rsidRPr="00B7014C">
              <w:rPr>
                <w:color w:val="000000"/>
                <w:sz w:val="22"/>
                <w:szCs w:val="22"/>
                <w:lang w:eastAsia="en-GB"/>
              </w:rPr>
              <w:t>47</w:t>
            </w:r>
          </w:p>
        </w:tc>
        <w:tc>
          <w:tcPr>
            <w:tcW w:w="487" w:type="pct"/>
            <w:tcBorders>
              <w:top w:val="nil"/>
              <w:left w:val="nil"/>
              <w:bottom w:val="single" w:sz="8" w:space="0" w:color="auto"/>
              <w:right w:val="single" w:sz="8" w:space="0" w:color="auto"/>
            </w:tcBorders>
            <w:shd w:val="clear" w:color="auto" w:fill="auto"/>
            <w:noWrap/>
            <w:vAlign w:val="center"/>
            <w:hideMark/>
          </w:tcPr>
          <w:p w14:paraId="65C1C86A" w14:textId="77777777" w:rsidR="00E3087D" w:rsidRPr="00B7014C" w:rsidRDefault="00E3087D" w:rsidP="00890082">
            <w:pPr>
              <w:jc w:val="center"/>
              <w:rPr>
                <w:color w:val="000000"/>
                <w:sz w:val="22"/>
                <w:szCs w:val="22"/>
                <w:lang w:eastAsia="en-GB"/>
              </w:rPr>
            </w:pPr>
            <w:r w:rsidRPr="00B7014C">
              <w:rPr>
                <w:color w:val="000000"/>
                <w:sz w:val="22"/>
                <w:szCs w:val="22"/>
                <w:lang w:eastAsia="en-GB"/>
              </w:rPr>
              <w:t>51</w:t>
            </w:r>
          </w:p>
        </w:tc>
        <w:tc>
          <w:tcPr>
            <w:tcW w:w="488" w:type="pct"/>
            <w:tcBorders>
              <w:top w:val="nil"/>
              <w:left w:val="nil"/>
              <w:bottom w:val="single" w:sz="8" w:space="0" w:color="auto"/>
              <w:right w:val="single" w:sz="8" w:space="0" w:color="auto"/>
            </w:tcBorders>
            <w:vAlign w:val="center"/>
          </w:tcPr>
          <w:p w14:paraId="5632688B" w14:textId="77777777" w:rsidR="00E3087D" w:rsidRPr="00B7014C" w:rsidRDefault="00E3087D" w:rsidP="00890082">
            <w:pPr>
              <w:jc w:val="center"/>
              <w:rPr>
                <w:color w:val="000000"/>
                <w:sz w:val="22"/>
                <w:szCs w:val="22"/>
                <w:lang w:eastAsia="en-GB"/>
              </w:rPr>
            </w:pPr>
            <w:r w:rsidRPr="00B7014C">
              <w:rPr>
                <w:color w:val="000000"/>
                <w:sz w:val="22"/>
                <w:szCs w:val="22"/>
                <w:lang w:eastAsia="en-GB"/>
              </w:rPr>
              <w:t>47</w:t>
            </w:r>
          </w:p>
        </w:tc>
        <w:tc>
          <w:tcPr>
            <w:tcW w:w="489" w:type="pct"/>
            <w:tcBorders>
              <w:top w:val="nil"/>
              <w:left w:val="nil"/>
              <w:bottom w:val="single" w:sz="8" w:space="0" w:color="auto"/>
              <w:right w:val="single" w:sz="8" w:space="0" w:color="auto"/>
            </w:tcBorders>
            <w:vAlign w:val="center"/>
          </w:tcPr>
          <w:p w14:paraId="66E174C2" w14:textId="77777777" w:rsidR="00E3087D" w:rsidRPr="00B7014C" w:rsidRDefault="00E3087D" w:rsidP="00890082">
            <w:pPr>
              <w:jc w:val="center"/>
              <w:rPr>
                <w:color w:val="000000"/>
                <w:sz w:val="22"/>
                <w:szCs w:val="22"/>
                <w:lang w:eastAsia="en-GB"/>
              </w:rPr>
            </w:pPr>
            <w:r>
              <w:rPr>
                <w:color w:val="000000"/>
                <w:sz w:val="22"/>
                <w:szCs w:val="22"/>
                <w:lang w:eastAsia="en-GB"/>
              </w:rPr>
              <w:t>36</w:t>
            </w:r>
          </w:p>
        </w:tc>
        <w:tc>
          <w:tcPr>
            <w:tcW w:w="488" w:type="pct"/>
            <w:tcBorders>
              <w:top w:val="nil"/>
              <w:left w:val="nil"/>
              <w:bottom w:val="single" w:sz="8" w:space="0" w:color="auto"/>
              <w:right w:val="single" w:sz="8" w:space="0" w:color="auto"/>
            </w:tcBorders>
            <w:vAlign w:val="center"/>
          </w:tcPr>
          <w:p w14:paraId="724935A1" w14:textId="77777777" w:rsidR="00E3087D" w:rsidRDefault="00E3087D" w:rsidP="00890082">
            <w:pPr>
              <w:jc w:val="center"/>
              <w:rPr>
                <w:color w:val="000000"/>
                <w:sz w:val="22"/>
                <w:szCs w:val="22"/>
                <w:lang w:eastAsia="en-GB"/>
              </w:rPr>
            </w:pPr>
            <w:r>
              <w:rPr>
                <w:color w:val="000000"/>
                <w:sz w:val="22"/>
                <w:szCs w:val="22"/>
                <w:lang w:eastAsia="en-GB"/>
              </w:rPr>
              <w:t>33</w:t>
            </w:r>
          </w:p>
        </w:tc>
      </w:tr>
      <w:tr w:rsidR="00E3087D" w:rsidRPr="00B7014C" w14:paraId="51CFE5A5" w14:textId="77777777" w:rsidTr="00890082">
        <w:trPr>
          <w:trHeight w:val="154"/>
        </w:trPr>
        <w:tc>
          <w:tcPr>
            <w:tcW w:w="2058" w:type="pct"/>
            <w:tcBorders>
              <w:top w:val="nil"/>
              <w:left w:val="single" w:sz="8" w:space="0" w:color="auto"/>
              <w:bottom w:val="single" w:sz="8" w:space="0" w:color="auto"/>
              <w:right w:val="single" w:sz="8" w:space="0" w:color="auto"/>
            </w:tcBorders>
            <w:shd w:val="clear" w:color="auto" w:fill="auto"/>
            <w:noWrap/>
            <w:vAlign w:val="center"/>
            <w:hideMark/>
          </w:tcPr>
          <w:p w14:paraId="48A72706" w14:textId="77777777" w:rsidR="00E3087D" w:rsidRPr="00B7014C" w:rsidRDefault="00E3087D" w:rsidP="00890082">
            <w:pPr>
              <w:rPr>
                <w:b/>
                <w:bCs/>
                <w:color w:val="000000"/>
                <w:sz w:val="22"/>
                <w:szCs w:val="22"/>
                <w:lang w:eastAsia="en-GB"/>
              </w:rPr>
            </w:pPr>
            <w:r w:rsidRPr="00B7014C">
              <w:rPr>
                <w:b/>
                <w:bCs/>
                <w:color w:val="000000"/>
                <w:sz w:val="22"/>
                <w:szCs w:val="22"/>
                <w:lang w:eastAsia="en-GB"/>
              </w:rPr>
              <w:t>Total Harrow resident pupils exported</w:t>
            </w:r>
          </w:p>
        </w:tc>
        <w:tc>
          <w:tcPr>
            <w:tcW w:w="502" w:type="pct"/>
            <w:tcBorders>
              <w:top w:val="nil"/>
              <w:left w:val="nil"/>
              <w:bottom w:val="single" w:sz="8" w:space="0" w:color="auto"/>
              <w:right w:val="single" w:sz="8" w:space="0" w:color="auto"/>
            </w:tcBorders>
            <w:shd w:val="clear" w:color="auto" w:fill="auto"/>
            <w:noWrap/>
            <w:vAlign w:val="center"/>
            <w:hideMark/>
          </w:tcPr>
          <w:p w14:paraId="4F90DA3C" w14:textId="77777777" w:rsidR="00E3087D" w:rsidRPr="00B7014C" w:rsidRDefault="00E3087D" w:rsidP="00890082">
            <w:pPr>
              <w:jc w:val="center"/>
              <w:rPr>
                <w:b/>
                <w:bCs/>
                <w:color w:val="000000"/>
                <w:sz w:val="22"/>
                <w:szCs w:val="22"/>
                <w:lang w:eastAsia="en-GB"/>
              </w:rPr>
            </w:pPr>
            <w:r w:rsidRPr="00B7014C">
              <w:rPr>
                <w:b/>
                <w:bCs/>
                <w:color w:val="000000"/>
                <w:sz w:val="22"/>
                <w:szCs w:val="22"/>
                <w:lang w:eastAsia="en-GB"/>
              </w:rPr>
              <w:t>1,920</w:t>
            </w:r>
          </w:p>
        </w:tc>
        <w:tc>
          <w:tcPr>
            <w:tcW w:w="487" w:type="pct"/>
            <w:tcBorders>
              <w:top w:val="nil"/>
              <w:left w:val="nil"/>
              <w:bottom w:val="single" w:sz="8" w:space="0" w:color="auto"/>
              <w:right w:val="single" w:sz="8" w:space="0" w:color="auto"/>
            </w:tcBorders>
            <w:shd w:val="clear" w:color="auto" w:fill="auto"/>
            <w:noWrap/>
            <w:vAlign w:val="center"/>
            <w:hideMark/>
          </w:tcPr>
          <w:p w14:paraId="03110D76" w14:textId="77777777" w:rsidR="00E3087D" w:rsidRPr="00B7014C" w:rsidRDefault="00E3087D" w:rsidP="00890082">
            <w:pPr>
              <w:jc w:val="center"/>
              <w:rPr>
                <w:b/>
                <w:bCs/>
                <w:color w:val="000000"/>
                <w:sz w:val="22"/>
                <w:szCs w:val="22"/>
                <w:lang w:eastAsia="en-GB"/>
              </w:rPr>
            </w:pPr>
            <w:r w:rsidRPr="00B7014C">
              <w:rPr>
                <w:b/>
                <w:bCs/>
                <w:color w:val="000000"/>
                <w:sz w:val="22"/>
                <w:szCs w:val="22"/>
                <w:lang w:eastAsia="en-GB"/>
              </w:rPr>
              <w:t>1,872</w:t>
            </w:r>
          </w:p>
        </w:tc>
        <w:tc>
          <w:tcPr>
            <w:tcW w:w="487" w:type="pct"/>
            <w:tcBorders>
              <w:top w:val="nil"/>
              <w:left w:val="nil"/>
              <w:bottom w:val="single" w:sz="8" w:space="0" w:color="auto"/>
              <w:right w:val="single" w:sz="8" w:space="0" w:color="auto"/>
            </w:tcBorders>
            <w:shd w:val="clear" w:color="auto" w:fill="auto"/>
            <w:noWrap/>
            <w:vAlign w:val="center"/>
            <w:hideMark/>
          </w:tcPr>
          <w:p w14:paraId="403E1D4B" w14:textId="77777777" w:rsidR="00E3087D" w:rsidRPr="00B7014C" w:rsidRDefault="00E3087D" w:rsidP="00890082">
            <w:pPr>
              <w:jc w:val="center"/>
              <w:rPr>
                <w:b/>
                <w:bCs/>
                <w:color w:val="000000"/>
                <w:sz w:val="22"/>
                <w:szCs w:val="22"/>
                <w:lang w:eastAsia="en-GB"/>
              </w:rPr>
            </w:pPr>
            <w:r w:rsidRPr="00B7014C">
              <w:rPr>
                <w:b/>
                <w:bCs/>
                <w:color w:val="000000"/>
                <w:sz w:val="22"/>
                <w:szCs w:val="22"/>
                <w:lang w:eastAsia="en-GB"/>
              </w:rPr>
              <w:t>1,795</w:t>
            </w:r>
          </w:p>
        </w:tc>
        <w:tc>
          <w:tcPr>
            <w:tcW w:w="488" w:type="pct"/>
            <w:tcBorders>
              <w:top w:val="nil"/>
              <w:left w:val="nil"/>
              <w:bottom w:val="single" w:sz="8" w:space="0" w:color="auto"/>
              <w:right w:val="single" w:sz="8" w:space="0" w:color="auto"/>
            </w:tcBorders>
            <w:vAlign w:val="center"/>
          </w:tcPr>
          <w:p w14:paraId="29F68D48" w14:textId="77777777" w:rsidR="00E3087D" w:rsidRPr="00B7014C" w:rsidRDefault="00E3087D" w:rsidP="00890082">
            <w:pPr>
              <w:jc w:val="center"/>
              <w:rPr>
                <w:b/>
                <w:bCs/>
                <w:color w:val="000000"/>
                <w:sz w:val="22"/>
                <w:szCs w:val="22"/>
                <w:lang w:eastAsia="en-GB"/>
              </w:rPr>
            </w:pPr>
            <w:r w:rsidRPr="00B7014C">
              <w:rPr>
                <w:b/>
                <w:bCs/>
                <w:color w:val="000000"/>
                <w:sz w:val="22"/>
                <w:szCs w:val="22"/>
                <w:lang w:eastAsia="en-GB"/>
              </w:rPr>
              <w:t>1,715</w:t>
            </w:r>
          </w:p>
        </w:tc>
        <w:tc>
          <w:tcPr>
            <w:tcW w:w="489" w:type="pct"/>
            <w:tcBorders>
              <w:top w:val="nil"/>
              <w:left w:val="nil"/>
              <w:bottom w:val="single" w:sz="8" w:space="0" w:color="auto"/>
              <w:right w:val="single" w:sz="8" w:space="0" w:color="auto"/>
            </w:tcBorders>
            <w:vAlign w:val="center"/>
          </w:tcPr>
          <w:p w14:paraId="7296D520" w14:textId="77777777" w:rsidR="00E3087D" w:rsidRPr="00B7014C" w:rsidRDefault="00E3087D" w:rsidP="00890082">
            <w:pPr>
              <w:jc w:val="center"/>
              <w:rPr>
                <w:b/>
                <w:bCs/>
                <w:color w:val="000000"/>
                <w:sz w:val="22"/>
                <w:szCs w:val="22"/>
                <w:lang w:eastAsia="en-GB"/>
              </w:rPr>
            </w:pPr>
            <w:r>
              <w:rPr>
                <w:b/>
                <w:bCs/>
                <w:color w:val="000000"/>
                <w:sz w:val="22"/>
                <w:szCs w:val="22"/>
                <w:lang w:eastAsia="en-GB"/>
              </w:rPr>
              <w:t>1,635</w:t>
            </w:r>
          </w:p>
        </w:tc>
        <w:tc>
          <w:tcPr>
            <w:tcW w:w="488" w:type="pct"/>
            <w:tcBorders>
              <w:top w:val="nil"/>
              <w:left w:val="nil"/>
              <w:bottom w:val="single" w:sz="8" w:space="0" w:color="auto"/>
              <w:right w:val="single" w:sz="8" w:space="0" w:color="auto"/>
            </w:tcBorders>
            <w:vAlign w:val="center"/>
          </w:tcPr>
          <w:p w14:paraId="1F7B21E4" w14:textId="77777777" w:rsidR="00E3087D" w:rsidRDefault="00E3087D" w:rsidP="00890082">
            <w:pPr>
              <w:jc w:val="center"/>
              <w:rPr>
                <w:b/>
                <w:bCs/>
                <w:color w:val="000000"/>
                <w:sz w:val="22"/>
                <w:szCs w:val="22"/>
                <w:lang w:eastAsia="en-GB"/>
              </w:rPr>
            </w:pPr>
            <w:r>
              <w:rPr>
                <w:b/>
                <w:bCs/>
                <w:color w:val="000000"/>
                <w:sz w:val="22"/>
                <w:szCs w:val="22"/>
                <w:lang w:eastAsia="en-GB"/>
              </w:rPr>
              <w:t>1,574</w:t>
            </w:r>
          </w:p>
        </w:tc>
      </w:tr>
    </w:tbl>
    <w:p w14:paraId="2FA9BF2A" w14:textId="77777777" w:rsidR="00E3087D" w:rsidRPr="00B7014C" w:rsidRDefault="00E3087D" w:rsidP="00E3087D">
      <w:pPr>
        <w:rPr>
          <w:sz w:val="20"/>
        </w:rPr>
      </w:pPr>
      <w:r w:rsidRPr="00B7014C">
        <w:rPr>
          <w:sz w:val="20"/>
        </w:rPr>
        <w:t>Source: DfE SFR Cross Border Movement</w:t>
      </w:r>
    </w:p>
    <w:p w14:paraId="1E176808" w14:textId="77777777" w:rsidR="00E3087D" w:rsidRPr="00B7014C" w:rsidRDefault="00E3087D" w:rsidP="00E3087D"/>
    <w:p w14:paraId="02FEB01C" w14:textId="77777777" w:rsidR="00E3087D" w:rsidRPr="00B7014C" w:rsidRDefault="00E3087D" w:rsidP="00E3087D">
      <w:r w:rsidRPr="00B7014C">
        <w:t xml:space="preserve">Table </w:t>
      </w:r>
      <w:r>
        <w:t xml:space="preserve">30 </w:t>
      </w:r>
      <w:r w:rsidRPr="00B7014C">
        <w:t xml:space="preserve">below shows the number of out of borough of residents attending Harrow’s primary schools.  The number of out of borough pupils attending Harrow’s schools increased from 2,060 in January 2017 to 2,296 in January 2019 but </w:t>
      </w:r>
      <w:r>
        <w:t xml:space="preserve">has </w:t>
      </w:r>
      <w:r w:rsidRPr="00B7014C">
        <w:t xml:space="preserve">dropped </w:t>
      </w:r>
      <w:r>
        <w:t xml:space="preserve">since, </w:t>
      </w:r>
      <w:r w:rsidRPr="00B7014C">
        <w:t xml:space="preserve">to </w:t>
      </w:r>
      <w:r>
        <w:t>2</w:t>
      </w:r>
      <w:r w:rsidRPr="00B7014C">
        <w:t>,</w:t>
      </w:r>
      <w:r>
        <w:t>269</w:t>
      </w:r>
      <w:r w:rsidRPr="00B7014C">
        <w:t xml:space="preserve"> in 202</w:t>
      </w:r>
      <w:r>
        <w:t>2</w:t>
      </w:r>
      <w:r w:rsidRPr="00B7014C">
        <w:t>.</w:t>
      </w:r>
    </w:p>
    <w:p w14:paraId="7FB6D44C" w14:textId="77777777" w:rsidR="00E3087D" w:rsidRPr="00B7014C" w:rsidRDefault="00E3087D" w:rsidP="00E3087D"/>
    <w:p w14:paraId="23FB554F" w14:textId="77777777" w:rsidR="00E3087D" w:rsidRPr="00B7014C" w:rsidRDefault="00E3087D" w:rsidP="00E3087D">
      <w:r w:rsidRPr="001F1D4B">
        <w:t xml:space="preserve">Table </w:t>
      </w:r>
      <w:r>
        <w:t>30</w:t>
      </w:r>
      <w:r w:rsidRPr="001F1D4B">
        <w:t>: Borough of residence of Harrow’s primary school pupils</w:t>
      </w:r>
    </w:p>
    <w:tbl>
      <w:tblPr>
        <w:tblW w:w="4864" w:type="pct"/>
        <w:tblLook w:val="04A0" w:firstRow="1" w:lastRow="0" w:firstColumn="1" w:lastColumn="0" w:noHBand="0" w:noVBand="1"/>
      </w:tblPr>
      <w:tblGrid>
        <w:gridCol w:w="4201"/>
        <w:gridCol w:w="951"/>
        <w:gridCol w:w="951"/>
        <w:gridCol w:w="953"/>
        <w:gridCol w:w="951"/>
        <w:gridCol w:w="951"/>
        <w:gridCol w:w="949"/>
      </w:tblGrid>
      <w:tr w:rsidR="00E3087D" w:rsidRPr="00B7014C" w14:paraId="41B6C70E" w14:textId="77777777" w:rsidTr="00890082">
        <w:trPr>
          <w:trHeight w:val="40"/>
        </w:trPr>
        <w:tc>
          <w:tcPr>
            <w:tcW w:w="2120" w:type="pct"/>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7C047F41" w14:textId="77777777" w:rsidR="00E3087D" w:rsidRPr="00B7014C" w:rsidRDefault="00E3087D" w:rsidP="00890082">
            <w:pPr>
              <w:rPr>
                <w:b/>
                <w:bCs/>
                <w:color w:val="000000"/>
                <w:sz w:val="22"/>
                <w:szCs w:val="22"/>
                <w:lang w:eastAsia="en-GB"/>
              </w:rPr>
            </w:pPr>
            <w:r w:rsidRPr="00B7014C">
              <w:rPr>
                <w:b/>
                <w:bCs/>
                <w:color w:val="000000"/>
                <w:sz w:val="22"/>
                <w:szCs w:val="22"/>
                <w:lang w:eastAsia="en-GB"/>
              </w:rPr>
              <w:t>LA Name Residence</w:t>
            </w:r>
          </w:p>
        </w:tc>
        <w:tc>
          <w:tcPr>
            <w:tcW w:w="2880" w:type="pct"/>
            <w:gridSpan w:val="6"/>
            <w:tcBorders>
              <w:top w:val="single" w:sz="8" w:space="0" w:color="auto"/>
              <w:left w:val="nil"/>
              <w:bottom w:val="single" w:sz="8" w:space="0" w:color="auto"/>
              <w:right w:val="single" w:sz="8" w:space="0" w:color="000000"/>
            </w:tcBorders>
            <w:shd w:val="clear" w:color="auto" w:fill="auto"/>
            <w:vAlign w:val="center"/>
            <w:hideMark/>
          </w:tcPr>
          <w:p w14:paraId="5392CC5C" w14:textId="77777777" w:rsidR="00E3087D" w:rsidRPr="00B7014C" w:rsidRDefault="00E3087D" w:rsidP="00890082">
            <w:pPr>
              <w:jc w:val="center"/>
              <w:rPr>
                <w:b/>
                <w:bCs/>
                <w:color w:val="000000"/>
                <w:sz w:val="22"/>
                <w:szCs w:val="22"/>
                <w:lang w:eastAsia="en-GB"/>
              </w:rPr>
            </w:pPr>
            <w:r w:rsidRPr="00B7014C">
              <w:rPr>
                <w:b/>
                <w:bCs/>
                <w:color w:val="000000"/>
                <w:sz w:val="22"/>
                <w:szCs w:val="22"/>
                <w:lang w:eastAsia="en-GB"/>
              </w:rPr>
              <w:t>Primary School in Harrow</w:t>
            </w:r>
          </w:p>
        </w:tc>
      </w:tr>
      <w:tr w:rsidR="00E3087D" w:rsidRPr="00B7014C" w14:paraId="7461F088" w14:textId="77777777" w:rsidTr="00890082">
        <w:trPr>
          <w:trHeight w:val="208"/>
        </w:trPr>
        <w:tc>
          <w:tcPr>
            <w:tcW w:w="2120" w:type="pct"/>
            <w:vMerge/>
            <w:tcBorders>
              <w:top w:val="single" w:sz="8" w:space="0" w:color="auto"/>
              <w:left w:val="single" w:sz="8" w:space="0" w:color="auto"/>
              <w:bottom w:val="single" w:sz="8" w:space="0" w:color="000000"/>
              <w:right w:val="single" w:sz="8" w:space="0" w:color="auto"/>
            </w:tcBorders>
            <w:vAlign w:val="center"/>
            <w:hideMark/>
          </w:tcPr>
          <w:p w14:paraId="1BFF3190" w14:textId="77777777" w:rsidR="00E3087D" w:rsidRPr="00B7014C" w:rsidRDefault="00E3087D" w:rsidP="00890082">
            <w:pPr>
              <w:rPr>
                <w:b/>
                <w:bCs/>
                <w:color w:val="000000"/>
                <w:sz w:val="22"/>
                <w:szCs w:val="22"/>
                <w:lang w:eastAsia="en-GB"/>
              </w:rPr>
            </w:pPr>
          </w:p>
        </w:tc>
        <w:tc>
          <w:tcPr>
            <w:tcW w:w="480" w:type="pct"/>
            <w:tcBorders>
              <w:top w:val="nil"/>
              <w:left w:val="nil"/>
              <w:bottom w:val="single" w:sz="8" w:space="0" w:color="auto"/>
              <w:right w:val="single" w:sz="8" w:space="0" w:color="auto"/>
            </w:tcBorders>
            <w:shd w:val="clear" w:color="auto" w:fill="auto"/>
            <w:noWrap/>
            <w:vAlign w:val="center"/>
            <w:hideMark/>
          </w:tcPr>
          <w:p w14:paraId="281D341C" w14:textId="77777777" w:rsidR="00E3087D" w:rsidRPr="00B7014C" w:rsidRDefault="00E3087D" w:rsidP="00890082">
            <w:pPr>
              <w:jc w:val="center"/>
              <w:rPr>
                <w:b/>
                <w:bCs/>
                <w:color w:val="000000"/>
                <w:sz w:val="22"/>
                <w:szCs w:val="22"/>
                <w:lang w:eastAsia="en-GB"/>
              </w:rPr>
            </w:pPr>
            <w:r w:rsidRPr="00B7014C">
              <w:rPr>
                <w:b/>
                <w:bCs/>
                <w:color w:val="000000"/>
                <w:sz w:val="22"/>
                <w:szCs w:val="22"/>
                <w:lang w:eastAsia="en-GB"/>
              </w:rPr>
              <w:t>Jan-17</w:t>
            </w:r>
          </w:p>
        </w:tc>
        <w:tc>
          <w:tcPr>
            <w:tcW w:w="480" w:type="pct"/>
            <w:tcBorders>
              <w:top w:val="nil"/>
              <w:left w:val="nil"/>
              <w:bottom w:val="single" w:sz="8" w:space="0" w:color="auto"/>
              <w:right w:val="single" w:sz="8" w:space="0" w:color="auto"/>
            </w:tcBorders>
            <w:shd w:val="clear" w:color="auto" w:fill="auto"/>
            <w:noWrap/>
            <w:vAlign w:val="center"/>
            <w:hideMark/>
          </w:tcPr>
          <w:p w14:paraId="0364E500" w14:textId="77777777" w:rsidR="00E3087D" w:rsidRPr="00B7014C" w:rsidRDefault="00E3087D" w:rsidP="00890082">
            <w:pPr>
              <w:jc w:val="center"/>
              <w:rPr>
                <w:b/>
                <w:bCs/>
                <w:color w:val="000000"/>
                <w:sz w:val="22"/>
                <w:szCs w:val="22"/>
                <w:lang w:eastAsia="en-GB"/>
              </w:rPr>
            </w:pPr>
            <w:r w:rsidRPr="00B7014C">
              <w:rPr>
                <w:b/>
                <w:bCs/>
                <w:color w:val="000000"/>
                <w:sz w:val="22"/>
                <w:szCs w:val="22"/>
                <w:lang w:eastAsia="en-GB"/>
              </w:rPr>
              <w:t>Jan-18</w:t>
            </w:r>
          </w:p>
        </w:tc>
        <w:tc>
          <w:tcPr>
            <w:tcW w:w="481" w:type="pct"/>
            <w:tcBorders>
              <w:top w:val="nil"/>
              <w:left w:val="nil"/>
              <w:bottom w:val="single" w:sz="8" w:space="0" w:color="auto"/>
              <w:right w:val="single" w:sz="8" w:space="0" w:color="auto"/>
            </w:tcBorders>
            <w:shd w:val="clear" w:color="auto" w:fill="auto"/>
            <w:noWrap/>
            <w:vAlign w:val="center"/>
            <w:hideMark/>
          </w:tcPr>
          <w:p w14:paraId="50B1E7C6" w14:textId="77777777" w:rsidR="00E3087D" w:rsidRPr="00B7014C" w:rsidRDefault="00E3087D" w:rsidP="00890082">
            <w:pPr>
              <w:jc w:val="center"/>
              <w:rPr>
                <w:b/>
                <w:bCs/>
                <w:color w:val="000000"/>
                <w:sz w:val="22"/>
                <w:szCs w:val="22"/>
                <w:lang w:eastAsia="en-GB"/>
              </w:rPr>
            </w:pPr>
            <w:r w:rsidRPr="00B7014C">
              <w:rPr>
                <w:b/>
                <w:bCs/>
                <w:color w:val="000000"/>
                <w:sz w:val="22"/>
                <w:szCs w:val="22"/>
                <w:lang w:eastAsia="en-GB"/>
              </w:rPr>
              <w:t>Jan-19</w:t>
            </w:r>
          </w:p>
        </w:tc>
        <w:tc>
          <w:tcPr>
            <w:tcW w:w="480" w:type="pct"/>
            <w:tcBorders>
              <w:top w:val="nil"/>
              <w:left w:val="nil"/>
              <w:bottom w:val="single" w:sz="8" w:space="0" w:color="auto"/>
              <w:right w:val="single" w:sz="8" w:space="0" w:color="auto"/>
            </w:tcBorders>
            <w:vAlign w:val="center"/>
          </w:tcPr>
          <w:p w14:paraId="5415684D" w14:textId="77777777" w:rsidR="00E3087D" w:rsidRPr="00B7014C" w:rsidRDefault="00E3087D" w:rsidP="00890082">
            <w:pPr>
              <w:jc w:val="center"/>
              <w:rPr>
                <w:b/>
                <w:bCs/>
                <w:color w:val="000000"/>
                <w:sz w:val="22"/>
                <w:szCs w:val="22"/>
                <w:lang w:eastAsia="en-GB"/>
              </w:rPr>
            </w:pPr>
            <w:r w:rsidRPr="00B7014C">
              <w:rPr>
                <w:b/>
                <w:bCs/>
                <w:color w:val="000000"/>
                <w:sz w:val="22"/>
                <w:szCs w:val="22"/>
                <w:lang w:eastAsia="en-GB"/>
              </w:rPr>
              <w:t>Jan-20</w:t>
            </w:r>
          </w:p>
        </w:tc>
        <w:tc>
          <w:tcPr>
            <w:tcW w:w="480" w:type="pct"/>
            <w:tcBorders>
              <w:top w:val="nil"/>
              <w:left w:val="nil"/>
              <w:bottom w:val="single" w:sz="8" w:space="0" w:color="auto"/>
              <w:right w:val="single" w:sz="8" w:space="0" w:color="auto"/>
            </w:tcBorders>
            <w:vAlign w:val="center"/>
          </w:tcPr>
          <w:p w14:paraId="544F35DA" w14:textId="77777777" w:rsidR="00E3087D" w:rsidRPr="00B7014C" w:rsidRDefault="00E3087D" w:rsidP="00890082">
            <w:pPr>
              <w:jc w:val="center"/>
              <w:rPr>
                <w:b/>
                <w:bCs/>
                <w:color w:val="000000"/>
                <w:sz w:val="22"/>
                <w:szCs w:val="22"/>
                <w:lang w:eastAsia="en-GB"/>
              </w:rPr>
            </w:pPr>
            <w:r>
              <w:rPr>
                <w:b/>
                <w:bCs/>
                <w:color w:val="000000"/>
                <w:sz w:val="22"/>
                <w:szCs w:val="22"/>
                <w:lang w:eastAsia="en-GB"/>
              </w:rPr>
              <w:t>Jan-21</w:t>
            </w:r>
          </w:p>
        </w:tc>
        <w:tc>
          <w:tcPr>
            <w:tcW w:w="480" w:type="pct"/>
            <w:tcBorders>
              <w:top w:val="nil"/>
              <w:left w:val="nil"/>
              <w:bottom w:val="single" w:sz="8" w:space="0" w:color="auto"/>
              <w:right w:val="single" w:sz="8" w:space="0" w:color="auto"/>
            </w:tcBorders>
            <w:vAlign w:val="center"/>
          </w:tcPr>
          <w:p w14:paraId="7DD1CAE7" w14:textId="77777777" w:rsidR="00E3087D" w:rsidRDefault="00E3087D" w:rsidP="00890082">
            <w:pPr>
              <w:jc w:val="center"/>
              <w:rPr>
                <w:b/>
                <w:bCs/>
                <w:color w:val="000000"/>
                <w:sz w:val="22"/>
                <w:szCs w:val="22"/>
                <w:lang w:eastAsia="en-GB"/>
              </w:rPr>
            </w:pPr>
            <w:r>
              <w:rPr>
                <w:b/>
                <w:bCs/>
                <w:color w:val="000000"/>
                <w:sz w:val="22"/>
                <w:szCs w:val="22"/>
                <w:lang w:eastAsia="en-GB"/>
              </w:rPr>
              <w:t>Jan-22</w:t>
            </w:r>
          </w:p>
        </w:tc>
      </w:tr>
      <w:tr w:rsidR="00E3087D" w:rsidRPr="00B7014C" w14:paraId="65369A5C" w14:textId="77777777" w:rsidTr="00890082">
        <w:trPr>
          <w:trHeight w:val="40"/>
        </w:trPr>
        <w:tc>
          <w:tcPr>
            <w:tcW w:w="2120" w:type="pct"/>
            <w:tcBorders>
              <w:top w:val="nil"/>
              <w:left w:val="single" w:sz="8" w:space="0" w:color="auto"/>
              <w:bottom w:val="single" w:sz="8" w:space="0" w:color="auto"/>
              <w:right w:val="single" w:sz="8" w:space="0" w:color="auto"/>
            </w:tcBorders>
            <w:shd w:val="clear" w:color="auto" w:fill="auto"/>
            <w:noWrap/>
            <w:vAlign w:val="center"/>
            <w:hideMark/>
          </w:tcPr>
          <w:p w14:paraId="6C5591E8" w14:textId="77777777" w:rsidR="00E3087D" w:rsidRPr="00B7014C" w:rsidRDefault="00E3087D" w:rsidP="00890082">
            <w:pPr>
              <w:rPr>
                <w:color w:val="000000"/>
                <w:sz w:val="22"/>
                <w:szCs w:val="22"/>
                <w:lang w:eastAsia="en-GB"/>
              </w:rPr>
            </w:pPr>
            <w:r w:rsidRPr="00B7014C">
              <w:rPr>
                <w:color w:val="000000"/>
                <w:sz w:val="22"/>
                <w:szCs w:val="22"/>
                <w:lang w:eastAsia="en-GB"/>
              </w:rPr>
              <w:t>Residents of Brent</w:t>
            </w:r>
          </w:p>
        </w:tc>
        <w:tc>
          <w:tcPr>
            <w:tcW w:w="480" w:type="pct"/>
            <w:tcBorders>
              <w:top w:val="nil"/>
              <w:left w:val="nil"/>
              <w:bottom w:val="single" w:sz="8" w:space="0" w:color="auto"/>
              <w:right w:val="single" w:sz="8" w:space="0" w:color="auto"/>
            </w:tcBorders>
            <w:shd w:val="clear" w:color="auto" w:fill="auto"/>
            <w:noWrap/>
            <w:vAlign w:val="center"/>
            <w:hideMark/>
          </w:tcPr>
          <w:p w14:paraId="29CB5EE7" w14:textId="77777777" w:rsidR="00E3087D" w:rsidRPr="00B7014C" w:rsidRDefault="00E3087D" w:rsidP="00890082">
            <w:pPr>
              <w:jc w:val="center"/>
              <w:rPr>
                <w:color w:val="000000"/>
                <w:sz w:val="22"/>
                <w:szCs w:val="22"/>
                <w:lang w:eastAsia="en-GB"/>
              </w:rPr>
            </w:pPr>
            <w:r w:rsidRPr="00B7014C">
              <w:rPr>
                <w:color w:val="000000"/>
                <w:sz w:val="22"/>
                <w:szCs w:val="22"/>
                <w:lang w:eastAsia="en-GB"/>
              </w:rPr>
              <w:t>711</w:t>
            </w:r>
          </w:p>
        </w:tc>
        <w:tc>
          <w:tcPr>
            <w:tcW w:w="480" w:type="pct"/>
            <w:tcBorders>
              <w:top w:val="nil"/>
              <w:left w:val="nil"/>
              <w:bottom w:val="single" w:sz="8" w:space="0" w:color="auto"/>
              <w:right w:val="single" w:sz="8" w:space="0" w:color="auto"/>
            </w:tcBorders>
            <w:shd w:val="clear" w:color="auto" w:fill="auto"/>
            <w:noWrap/>
            <w:vAlign w:val="center"/>
            <w:hideMark/>
          </w:tcPr>
          <w:p w14:paraId="7A0493DD" w14:textId="77777777" w:rsidR="00E3087D" w:rsidRPr="00B7014C" w:rsidRDefault="00E3087D" w:rsidP="00890082">
            <w:pPr>
              <w:jc w:val="center"/>
              <w:rPr>
                <w:color w:val="000000"/>
                <w:sz w:val="22"/>
                <w:szCs w:val="22"/>
                <w:lang w:eastAsia="en-GB"/>
              </w:rPr>
            </w:pPr>
            <w:r w:rsidRPr="00B7014C">
              <w:rPr>
                <w:color w:val="000000"/>
                <w:sz w:val="22"/>
                <w:szCs w:val="22"/>
                <w:lang w:eastAsia="en-GB"/>
              </w:rPr>
              <w:t>743</w:t>
            </w:r>
          </w:p>
        </w:tc>
        <w:tc>
          <w:tcPr>
            <w:tcW w:w="481" w:type="pct"/>
            <w:tcBorders>
              <w:top w:val="nil"/>
              <w:left w:val="nil"/>
              <w:bottom w:val="single" w:sz="8" w:space="0" w:color="auto"/>
              <w:right w:val="single" w:sz="8" w:space="0" w:color="auto"/>
            </w:tcBorders>
            <w:shd w:val="clear" w:color="auto" w:fill="auto"/>
            <w:noWrap/>
            <w:vAlign w:val="center"/>
            <w:hideMark/>
          </w:tcPr>
          <w:p w14:paraId="1CA97E39" w14:textId="77777777" w:rsidR="00E3087D" w:rsidRPr="00B7014C" w:rsidRDefault="00E3087D" w:rsidP="00890082">
            <w:pPr>
              <w:jc w:val="center"/>
              <w:rPr>
                <w:color w:val="000000"/>
                <w:sz w:val="22"/>
                <w:szCs w:val="22"/>
                <w:lang w:eastAsia="en-GB"/>
              </w:rPr>
            </w:pPr>
            <w:r w:rsidRPr="00B7014C">
              <w:rPr>
                <w:color w:val="000000"/>
                <w:sz w:val="22"/>
                <w:szCs w:val="22"/>
                <w:lang w:eastAsia="en-GB"/>
              </w:rPr>
              <w:t>789</w:t>
            </w:r>
          </w:p>
        </w:tc>
        <w:tc>
          <w:tcPr>
            <w:tcW w:w="480" w:type="pct"/>
            <w:tcBorders>
              <w:top w:val="nil"/>
              <w:left w:val="nil"/>
              <w:bottom w:val="single" w:sz="8" w:space="0" w:color="auto"/>
              <w:right w:val="single" w:sz="8" w:space="0" w:color="auto"/>
            </w:tcBorders>
            <w:vAlign w:val="center"/>
          </w:tcPr>
          <w:p w14:paraId="2D5C0AC7" w14:textId="77777777" w:rsidR="00E3087D" w:rsidRPr="00B7014C" w:rsidRDefault="00E3087D" w:rsidP="00890082">
            <w:pPr>
              <w:jc w:val="center"/>
              <w:rPr>
                <w:color w:val="000000"/>
                <w:sz w:val="22"/>
                <w:szCs w:val="22"/>
                <w:lang w:eastAsia="en-GB"/>
              </w:rPr>
            </w:pPr>
            <w:r w:rsidRPr="00B7014C">
              <w:rPr>
                <w:color w:val="000000"/>
                <w:sz w:val="22"/>
                <w:szCs w:val="22"/>
                <w:lang w:eastAsia="en-GB"/>
              </w:rPr>
              <w:t>786</w:t>
            </w:r>
          </w:p>
        </w:tc>
        <w:tc>
          <w:tcPr>
            <w:tcW w:w="480" w:type="pct"/>
            <w:tcBorders>
              <w:top w:val="nil"/>
              <w:left w:val="nil"/>
              <w:bottom w:val="single" w:sz="8" w:space="0" w:color="auto"/>
              <w:right w:val="single" w:sz="8" w:space="0" w:color="auto"/>
            </w:tcBorders>
            <w:vAlign w:val="center"/>
          </w:tcPr>
          <w:p w14:paraId="3F16455E" w14:textId="77777777" w:rsidR="00E3087D" w:rsidRPr="00B7014C" w:rsidRDefault="00E3087D" w:rsidP="00890082">
            <w:pPr>
              <w:jc w:val="center"/>
              <w:rPr>
                <w:color w:val="000000"/>
                <w:sz w:val="22"/>
                <w:szCs w:val="22"/>
                <w:lang w:eastAsia="en-GB"/>
              </w:rPr>
            </w:pPr>
            <w:r>
              <w:rPr>
                <w:color w:val="000000"/>
                <w:sz w:val="22"/>
                <w:szCs w:val="22"/>
                <w:lang w:eastAsia="en-GB"/>
              </w:rPr>
              <w:t>788</w:t>
            </w:r>
          </w:p>
        </w:tc>
        <w:tc>
          <w:tcPr>
            <w:tcW w:w="480" w:type="pct"/>
            <w:tcBorders>
              <w:top w:val="nil"/>
              <w:left w:val="nil"/>
              <w:bottom w:val="single" w:sz="8" w:space="0" w:color="auto"/>
              <w:right w:val="single" w:sz="8" w:space="0" w:color="auto"/>
            </w:tcBorders>
            <w:vAlign w:val="center"/>
          </w:tcPr>
          <w:p w14:paraId="546FEF27" w14:textId="77777777" w:rsidR="00E3087D" w:rsidRDefault="00E3087D" w:rsidP="00890082">
            <w:pPr>
              <w:jc w:val="center"/>
              <w:rPr>
                <w:color w:val="000000"/>
                <w:sz w:val="22"/>
                <w:szCs w:val="22"/>
                <w:lang w:eastAsia="en-GB"/>
              </w:rPr>
            </w:pPr>
            <w:r>
              <w:rPr>
                <w:color w:val="000000"/>
                <w:sz w:val="22"/>
                <w:szCs w:val="22"/>
                <w:lang w:eastAsia="en-GB"/>
              </w:rPr>
              <w:t>803</w:t>
            </w:r>
          </w:p>
        </w:tc>
      </w:tr>
      <w:tr w:rsidR="00E3087D" w:rsidRPr="00B7014C" w14:paraId="417874E0" w14:textId="77777777" w:rsidTr="00890082">
        <w:trPr>
          <w:trHeight w:val="40"/>
        </w:trPr>
        <w:tc>
          <w:tcPr>
            <w:tcW w:w="2120" w:type="pct"/>
            <w:tcBorders>
              <w:top w:val="nil"/>
              <w:left w:val="single" w:sz="8" w:space="0" w:color="auto"/>
              <w:bottom w:val="single" w:sz="8" w:space="0" w:color="auto"/>
              <w:right w:val="single" w:sz="8" w:space="0" w:color="auto"/>
            </w:tcBorders>
            <w:shd w:val="clear" w:color="auto" w:fill="auto"/>
            <w:noWrap/>
            <w:vAlign w:val="center"/>
            <w:hideMark/>
          </w:tcPr>
          <w:p w14:paraId="7ACCAA8A" w14:textId="77777777" w:rsidR="00E3087D" w:rsidRPr="00B7014C" w:rsidRDefault="00E3087D" w:rsidP="00890082">
            <w:pPr>
              <w:rPr>
                <w:color w:val="000000"/>
                <w:sz w:val="22"/>
                <w:szCs w:val="22"/>
                <w:lang w:eastAsia="en-GB"/>
              </w:rPr>
            </w:pPr>
            <w:r w:rsidRPr="00B7014C">
              <w:rPr>
                <w:color w:val="000000"/>
                <w:sz w:val="22"/>
                <w:szCs w:val="22"/>
                <w:lang w:eastAsia="en-GB"/>
              </w:rPr>
              <w:t>Residents of Hillingdon</w:t>
            </w:r>
          </w:p>
        </w:tc>
        <w:tc>
          <w:tcPr>
            <w:tcW w:w="480" w:type="pct"/>
            <w:tcBorders>
              <w:top w:val="nil"/>
              <w:left w:val="nil"/>
              <w:bottom w:val="single" w:sz="8" w:space="0" w:color="auto"/>
              <w:right w:val="single" w:sz="8" w:space="0" w:color="auto"/>
            </w:tcBorders>
            <w:shd w:val="clear" w:color="auto" w:fill="auto"/>
            <w:noWrap/>
            <w:vAlign w:val="center"/>
            <w:hideMark/>
          </w:tcPr>
          <w:p w14:paraId="18B75849" w14:textId="77777777" w:rsidR="00E3087D" w:rsidRPr="00B7014C" w:rsidRDefault="00E3087D" w:rsidP="00890082">
            <w:pPr>
              <w:jc w:val="center"/>
              <w:rPr>
                <w:color w:val="000000"/>
                <w:sz w:val="22"/>
                <w:szCs w:val="22"/>
                <w:lang w:eastAsia="en-GB"/>
              </w:rPr>
            </w:pPr>
            <w:r w:rsidRPr="00B7014C">
              <w:rPr>
                <w:color w:val="000000"/>
                <w:sz w:val="22"/>
                <w:szCs w:val="22"/>
                <w:lang w:eastAsia="en-GB"/>
              </w:rPr>
              <w:t>418</w:t>
            </w:r>
          </w:p>
        </w:tc>
        <w:tc>
          <w:tcPr>
            <w:tcW w:w="480" w:type="pct"/>
            <w:tcBorders>
              <w:top w:val="nil"/>
              <w:left w:val="nil"/>
              <w:bottom w:val="single" w:sz="8" w:space="0" w:color="auto"/>
              <w:right w:val="single" w:sz="8" w:space="0" w:color="auto"/>
            </w:tcBorders>
            <w:shd w:val="clear" w:color="auto" w:fill="auto"/>
            <w:noWrap/>
            <w:vAlign w:val="center"/>
            <w:hideMark/>
          </w:tcPr>
          <w:p w14:paraId="4CC2AE94" w14:textId="77777777" w:rsidR="00E3087D" w:rsidRPr="00B7014C" w:rsidRDefault="00E3087D" w:rsidP="00890082">
            <w:pPr>
              <w:jc w:val="center"/>
              <w:rPr>
                <w:color w:val="000000"/>
                <w:sz w:val="22"/>
                <w:szCs w:val="22"/>
                <w:lang w:eastAsia="en-GB"/>
              </w:rPr>
            </w:pPr>
            <w:r w:rsidRPr="00B7014C">
              <w:rPr>
                <w:color w:val="000000"/>
                <w:sz w:val="22"/>
                <w:szCs w:val="22"/>
                <w:lang w:eastAsia="en-GB"/>
              </w:rPr>
              <w:t>441</w:t>
            </w:r>
          </w:p>
        </w:tc>
        <w:tc>
          <w:tcPr>
            <w:tcW w:w="481" w:type="pct"/>
            <w:tcBorders>
              <w:top w:val="nil"/>
              <w:left w:val="nil"/>
              <w:bottom w:val="single" w:sz="8" w:space="0" w:color="auto"/>
              <w:right w:val="single" w:sz="8" w:space="0" w:color="auto"/>
            </w:tcBorders>
            <w:shd w:val="clear" w:color="auto" w:fill="auto"/>
            <w:noWrap/>
            <w:vAlign w:val="center"/>
            <w:hideMark/>
          </w:tcPr>
          <w:p w14:paraId="63B0373C" w14:textId="77777777" w:rsidR="00E3087D" w:rsidRPr="00B7014C" w:rsidRDefault="00E3087D" w:rsidP="00890082">
            <w:pPr>
              <w:jc w:val="center"/>
              <w:rPr>
                <w:color w:val="000000"/>
                <w:sz w:val="22"/>
                <w:szCs w:val="22"/>
                <w:lang w:eastAsia="en-GB"/>
              </w:rPr>
            </w:pPr>
            <w:r w:rsidRPr="00B7014C">
              <w:rPr>
                <w:color w:val="000000"/>
                <w:sz w:val="22"/>
                <w:szCs w:val="22"/>
                <w:lang w:eastAsia="en-GB"/>
              </w:rPr>
              <w:t>499</w:t>
            </w:r>
          </w:p>
        </w:tc>
        <w:tc>
          <w:tcPr>
            <w:tcW w:w="480" w:type="pct"/>
            <w:tcBorders>
              <w:top w:val="nil"/>
              <w:left w:val="nil"/>
              <w:bottom w:val="single" w:sz="8" w:space="0" w:color="auto"/>
              <w:right w:val="single" w:sz="8" w:space="0" w:color="auto"/>
            </w:tcBorders>
            <w:vAlign w:val="center"/>
          </w:tcPr>
          <w:p w14:paraId="7A43DFF8" w14:textId="77777777" w:rsidR="00E3087D" w:rsidRPr="00B7014C" w:rsidRDefault="00E3087D" w:rsidP="00890082">
            <w:pPr>
              <w:jc w:val="center"/>
              <w:rPr>
                <w:color w:val="000000"/>
                <w:sz w:val="22"/>
                <w:szCs w:val="22"/>
                <w:lang w:eastAsia="en-GB"/>
              </w:rPr>
            </w:pPr>
            <w:r w:rsidRPr="00B7014C">
              <w:rPr>
                <w:color w:val="000000"/>
                <w:sz w:val="22"/>
                <w:szCs w:val="22"/>
                <w:lang w:eastAsia="en-GB"/>
              </w:rPr>
              <w:t>498</w:t>
            </w:r>
          </w:p>
        </w:tc>
        <w:tc>
          <w:tcPr>
            <w:tcW w:w="480" w:type="pct"/>
            <w:tcBorders>
              <w:top w:val="nil"/>
              <w:left w:val="nil"/>
              <w:bottom w:val="single" w:sz="8" w:space="0" w:color="auto"/>
              <w:right w:val="single" w:sz="8" w:space="0" w:color="auto"/>
            </w:tcBorders>
            <w:vAlign w:val="center"/>
          </w:tcPr>
          <w:p w14:paraId="18F431DF" w14:textId="77777777" w:rsidR="00E3087D" w:rsidRPr="00B7014C" w:rsidRDefault="00E3087D" w:rsidP="00890082">
            <w:pPr>
              <w:jc w:val="center"/>
              <w:rPr>
                <w:color w:val="000000"/>
                <w:sz w:val="22"/>
                <w:szCs w:val="22"/>
                <w:lang w:eastAsia="en-GB"/>
              </w:rPr>
            </w:pPr>
            <w:r>
              <w:rPr>
                <w:color w:val="000000"/>
                <w:sz w:val="22"/>
                <w:szCs w:val="22"/>
                <w:lang w:eastAsia="en-GB"/>
              </w:rPr>
              <w:t>512</w:t>
            </w:r>
          </w:p>
        </w:tc>
        <w:tc>
          <w:tcPr>
            <w:tcW w:w="480" w:type="pct"/>
            <w:tcBorders>
              <w:top w:val="nil"/>
              <w:left w:val="nil"/>
              <w:bottom w:val="single" w:sz="8" w:space="0" w:color="auto"/>
              <w:right w:val="single" w:sz="8" w:space="0" w:color="auto"/>
            </w:tcBorders>
            <w:vAlign w:val="center"/>
          </w:tcPr>
          <w:p w14:paraId="6B29E664" w14:textId="77777777" w:rsidR="00E3087D" w:rsidRDefault="00E3087D" w:rsidP="00890082">
            <w:pPr>
              <w:jc w:val="center"/>
              <w:rPr>
                <w:color w:val="000000"/>
                <w:sz w:val="22"/>
                <w:szCs w:val="22"/>
                <w:lang w:eastAsia="en-GB"/>
              </w:rPr>
            </w:pPr>
            <w:r>
              <w:rPr>
                <w:color w:val="000000"/>
                <w:sz w:val="22"/>
                <w:szCs w:val="22"/>
                <w:lang w:eastAsia="en-GB"/>
              </w:rPr>
              <w:t>510</w:t>
            </w:r>
          </w:p>
        </w:tc>
      </w:tr>
      <w:tr w:rsidR="00E3087D" w:rsidRPr="00B7014C" w14:paraId="748B1332" w14:textId="77777777" w:rsidTr="00890082">
        <w:trPr>
          <w:trHeight w:val="40"/>
        </w:trPr>
        <w:tc>
          <w:tcPr>
            <w:tcW w:w="2120" w:type="pct"/>
            <w:tcBorders>
              <w:top w:val="nil"/>
              <w:left w:val="single" w:sz="8" w:space="0" w:color="auto"/>
              <w:bottom w:val="single" w:sz="8" w:space="0" w:color="auto"/>
              <w:right w:val="single" w:sz="8" w:space="0" w:color="auto"/>
            </w:tcBorders>
            <w:shd w:val="clear" w:color="auto" w:fill="auto"/>
            <w:noWrap/>
            <w:vAlign w:val="center"/>
            <w:hideMark/>
          </w:tcPr>
          <w:p w14:paraId="45289A9A" w14:textId="77777777" w:rsidR="00E3087D" w:rsidRPr="00B7014C" w:rsidRDefault="00E3087D" w:rsidP="00890082">
            <w:pPr>
              <w:rPr>
                <w:color w:val="000000"/>
                <w:sz w:val="22"/>
                <w:szCs w:val="22"/>
                <w:lang w:eastAsia="en-GB"/>
              </w:rPr>
            </w:pPr>
            <w:r w:rsidRPr="00B7014C">
              <w:rPr>
                <w:color w:val="000000"/>
                <w:sz w:val="22"/>
                <w:szCs w:val="22"/>
                <w:lang w:eastAsia="en-GB"/>
              </w:rPr>
              <w:t>Residents of Hertfordshire</w:t>
            </w:r>
          </w:p>
        </w:tc>
        <w:tc>
          <w:tcPr>
            <w:tcW w:w="480" w:type="pct"/>
            <w:tcBorders>
              <w:top w:val="nil"/>
              <w:left w:val="nil"/>
              <w:bottom w:val="single" w:sz="8" w:space="0" w:color="auto"/>
              <w:right w:val="single" w:sz="8" w:space="0" w:color="auto"/>
            </w:tcBorders>
            <w:shd w:val="clear" w:color="auto" w:fill="auto"/>
            <w:noWrap/>
            <w:vAlign w:val="center"/>
            <w:hideMark/>
          </w:tcPr>
          <w:p w14:paraId="41BFEEFF" w14:textId="77777777" w:rsidR="00E3087D" w:rsidRPr="00B7014C" w:rsidRDefault="00E3087D" w:rsidP="00890082">
            <w:pPr>
              <w:jc w:val="center"/>
              <w:rPr>
                <w:color w:val="000000"/>
                <w:sz w:val="22"/>
                <w:szCs w:val="22"/>
                <w:lang w:eastAsia="en-GB"/>
              </w:rPr>
            </w:pPr>
            <w:r w:rsidRPr="00B7014C">
              <w:rPr>
                <w:color w:val="000000"/>
                <w:sz w:val="22"/>
                <w:szCs w:val="22"/>
                <w:lang w:eastAsia="en-GB"/>
              </w:rPr>
              <w:t>368</w:t>
            </w:r>
          </w:p>
        </w:tc>
        <w:tc>
          <w:tcPr>
            <w:tcW w:w="480" w:type="pct"/>
            <w:tcBorders>
              <w:top w:val="nil"/>
              <w:left w:val="nil"/>
              <w:bottom w:val="single" w:sz="8" w:space="0" w:color="auto"/>
              <w:right w:val="single" w:sz="8" w:space="0" w:color="auto"/>
            </w:tcBorders>
            <w:shd w:val="clear" w:color="auto" w:fill="auto"/>
            <w:noWrap/>
            <w:vAlign w:val="center"/>
            <w:hideMark/>
          </w:tcPr>
          <w:p w14:paraId="7B40796F" w14:textId="77777777" w:rsidR="00E3087D" w:rsidRPr="00B7014C" w:rsidRDefault="00E3087D" w:rsidP="00890082">
            <w:pPr>
              <w:jc w:val="center"/>
              <w:rPr>
                <w:color w:val="000000"/>
                <w:sz w:val="22"/>
                <w:szCs w:val="22"/>
                <w:lang w:eastAsia="en-GB"/>
              </w:rPr>
            </w:pPr>
            <w:r w:rsidRPr="00B7014C">
              <w:rPr>
                <w:color w:val="000000"/>
                <w:sz w:val="22"/>
                <w:szCs w:val="22"/>
                <w:lang w:eastAsia="en-GB"/>
              </w:rPr>
              <w:t>384</w:t>
            </w:r>
          </w:p>
        </w:tc>
        <w:tc>
          <w:tcPr>
            <w:tcW w:w="481" w:type="pct"/>
            <w:tcBorders>
              <w:top w:val="nil"/>
              <w:left w:val="nil"/>
              <w:bottom w:val="single" w:sz="8" w:space="0" w:color="auto"/>
              <w:right w:val="single" w:sz="8" w:space="0" w:color="auto"/>
            </w:tcBorders>
            <w:shd w:val="clear" w:color="auto" w:fill="auto"/>
            <w:noWrap/>
            <w:vAlign w:val="center"/>
            <w:hideMark/>
          </w:tcPr>
          <w:p w14:paraId="737F9E7E" w14:textId="77777777" w:rsidR="00E3087D" w:rsidRPr="00B7014C" w:rsidRDefault="00E3087D" w:rsidP="00890082">
            <w:pPr>
              <w:jc w:val="center"/>
              <w:rPr>
                <w:color w:val="000000"/>
                <w:sz w:val="22"/>
                <w:szCs w:val="22"/>
                <w:lang w:eastAsia="en-GB"/>
              </w:rPr>
            </w:pPr>
            <w:r w:rsidRPr="00B7014C">
              <w:rPr>
                <w:color w:val="000000"/>
                <w:sz w:val="22"/>
                <w:szCs w:val="22"/>
                <w:lang w:eastAsia="en-GB"/>
              </w:rPr>
              <w:t>450</w:t>
            </w:r>
          </w:p>
        </w:tc>
        <w:tc>
          <w:tcPr>
            <w:tcW w:w="480" w:type="pct"/>
            <w:tcBorders>
              <w:top w:val="nil"/>
              <w:left w:val="nil"/>
              <w:bottom w:val="single" w:sz="8" w:space="0" w:color="auto"/>
              <w:right w:val="single" w:sz="8" w:space="0" w:color="auto"/>
            </w:tcBorders>
            <w:vAlign w:val="center"/>
          </w:tcPr>
          <w:p w14:paraId="01F03BB1" w14:textId="77777777" w:rsidR="00E3087D" w:rsidRPr="00B7014C" w:rsidRDefault="00E3087D" w:rsidP="00890082">
            <w:pPr>
              <w:jc w:val="center"/>
              <w:rPr>
                <w:color w:val="000000"/>
                <w:sz w:val="22"/>
                <w:szCs w:val="22"/>
                <w:lang w:eastAsia="en-GB"/>
              </w:rPr>
            </w:pPr>
            <w:r w:rsidRPr="00B7014C">
              <w:rPr>
                <w:color w:val="000000"/>
                <w:sz w:val="22"/>
                <w:szCs w:val="22"/>
                <w:lang w:eastAsia="en-GB"/>
              </w:rPr>
              <w:t>418</w:t>
            </w:r>
          </w:p>
        </w:tc>
        <w:tc>
          <w:tcPr>
            <w:tcW w:w="480" w:type="pct"/>
            <w:tcBorders>
              <w:top w:val="nil"/>
              <w:left w:val="nil"/>
              <w:bottom w:val="single" w:sz="8" w:space="0" w:color="auto"/>
              <w:right w:val="single" w:sz="8" w:space="0" w:color="auto"/>
            </w:tcBorders>
            <w:vAlign w:val="center"/>
          </w:tcPr>
          <w:p w14:paraId="782EA8C6" w14:textId="77777777" w:rsidR="00E3087D" w:rsidRPr="00B7014C" w:rsidRDefault="00E3087D" w:rsidP="00890082">
            <w:pPr>
              <w:jc w:val="center"/>
              <w:rPr>
                <w:color w:val="000000"/>
                <w:sz w:val="22"/>
                <w:szCs w:val="22"/>
                <w:lang w:eastAsia="en-GB"/>
              </w:rPr>
            </w:pPr>
            <w:r>
              <w:rPr>
                <w:color w:val="000000"/>
                <w:sz w:val="22"/>
                <w:szCs w:val="22"/>
                <w:lang w:eastAsia="en-GB"/>
              </w:rPr>
              <w:t>406</w:t>
            </w:r>
          </w:p>
        </w:tc>
        <w:tc>
          <w:tcPr>
            <w:tcW w:w="480" w:type="pct"/>
            <w:tcBorders>
              <w:top w:val="nil"/>
              <w:left w:val="nil"/>
              <w:bottom w:val="single" w:sz="8" w:space="0" w:color="auto"/>
              <w:right w:val="single" w:sz="8" w:space="0" w:color="auto"/>
            </w:tcBorders>
            <w:vAlign w:val="center"/>
          </w:tcPr>
          <w:p w14:paraId="310DABF8" w14:textId="77777777" w:rsidR="00E3087D" w:rsidRDefault="00E3087D" w:rsidP="00890082">
            <w:pPr>
              <w:jc w:val="center"/>
              <w:rPr>
                <w:color w:val="000000"/>
                <w:sz w:val="22"/>
                <w:szCs w:val="22"/>
                <w:lang w:eastAsia="en-GB"/>
              </w:rPr>
            </w:pPr>
            <w:r>
              <w:rPr>
                <w:color w:val="000000"/>
                <w:sz w:val="22"/>
                <w:szCs w:val="22"/>
                <w:lang w:eastAsia="en-GB"/>
              </w:rPr>
              <w:t>438</w:t>
            </w:r>
          </w:p>
        </w:tc>
      </w:tr>
      <w:tr w:rsidR="00E3087D" w:rsidRPr="00B7014C" w14:paraId="38EAC30F" w14:textId="77777777" w:rsidTr="00890082">
        <w:trPr>
          <w:trHeight w:val="40"/>
        </w:trPr>
        <w:tc>
          <w:tcPr>
            <w:tcW w:w="2120" w:type="pct"/>
            <w:tcBorders>
              <w:top w:val="nil"/>
              <w:left w:val="single" w:sz="8" w:space="0" w:color="auto"/>
              <w:bottom w:val="single" w:sz="8" w:space="0" w:color="auto"/>
              <w:right w:val="single" w:sz="8" w:space="0" w:color="auto"/>
            </w:tcBorders>
            <w:shd w:val="clear" w:color="auto" w:fill="auto"/>
            <w:noWrap/>
            <w:vAlign w:val="center"/>
            <w:hideMark/>
          </w:tcPr>
          <w:p w14:paraId="166C57A8" w14:textId="77777777" w:rsidR="00E3087D" w:rsidRPr="00B7014C" w:rsidRDefault="00E3087D" w:rsidP="00890082">
            <w:pPr>
              <w:rPr>
                <w:color w:val="000000"/>
                <w:sz w:val="22"/>
                <w:szCs w:val="22"/>
                <w:lang w:eastAsia="en-GB"/>
              </w:rPr>
            </w:pPr>
            <w:r w:rsidRPr="00B7014C">
              <w:rPr>
                <w:color w:val="000000"/>
                <w:sz w:val="22"/>
                <w:szCs w:val="22"/>
                <w:lang w:eastAsia="en-GB"/>
              </w:rPr>
              <w:t>Residents of Ealing</w:t>
            </w:r>
          </w:p>
        </w:tc>
        <w:tc>
          <w:tcPr>
            <w:tcW w:w="480" w:type="pct"/>
            <w:tcBorders>
              <w:top w:val="nil"/>
              <w:left w:val="nil"/>
              <w:bottom w:val="single" w:sz="8" w:space="0" w:color="auto"/>
              <w:right w:val="single" w:sz="8" w:space="0" w:color="auto"/>
            </w:tcBorders>
            <w:shd w:val="clear" w:color="auto" w:fill="auto"/>
            <w:noWrap/>
            <w:vAlign w:val="center"/>
            <w:hideMark/>
          </w:tcPr>
          <w:p w14:paraId="556B907C" w14:textId="77777777" w:rsidR="00E3087D" w:rsidRPr="00B7014C" w:rsidRDefault="00E3087D" w:rsidP="00890082">
            <w:pPr>
              <w:jc w:val="center"/>
              <w:rPr>
                <w:color w:val="000000"/>
                <w:sz w:val="22"/>
                <w:szCs w:val="22"/>
                <w:lang w:eastAsia="en-GB"/>
              </w:rPr>
            </w:pPr>
            <w:r w:rsidRPr="00B7014C">
              <w:rPr>
                <w:color w:val="000000"/>
                <w:sz w:val="22"/>
                <w:szCs w:val="22"/>
                <w:lang w:eastAsia="en-GB"/>
              </w:rPr>
              <w:t>307</w:t>
            </w:r>
          </w:p>
        </w:tc>
        <w:tc>
          <w:tcPr>
            <w:tcW w:w="480" w:type="pct"/>
            <w:tcBorders>
              <w:top w:val="nil"/>
              <w:left w:val="nil"/>
              <w:bottom w:val="single" w:sz="8" w:space="0" w:color="auto"/>
              <w:right w:val="single" w:sz="8" w:space="0" w:color="auto"/>
            </w:tcBorders>
            <w:shd w:val="clear" w:color="auto" w:fill="auto"/>
            <w:noWrap/>
            <w:vAlign w:val="center"/>
            <w:hideMark/>
          </w:tcPr>
          <w:p w14:paraId="1A92D7B1" w14:textId="77777777" w:rsidR="00E3087D" w:rsidRPr="00B7014C" w:rsidRDefault="00E3087D" w:rsidP="00890082">
            <w:pPr>
              <w:jc w:val="center"/>
              <w:rPr>
                <w:color w:val="000000"/>
                <w:sz w:val="22"/>
                <w:szCs w:val="22"/>
                <w:lang w:eastAsia="en-GB"/>
              </w:rPr>
            </w:pPr>
            <w:r w:rsidRPr="00B7014C">
              <w:rPr>
                <w:color w:val="000000"/>
                <w:sz w:val="22"/>
                <w:szCs w:val="22"/>
                <w:lang w:eastAsia="en-GB"/>
              </w:rPr>
              <w:t>296</w:t>
            </w:r>
          </w:p>
        </w:tc>
        <w:tc>
          <w:tcPr>
            <w:tcW w:w="481" w:type="pct"/>
            <w:tcBorders>
              <w:top w:val="nil"/>
              <w:left w:val="nil"/>
              <w:bottom w:val="single" w:sz="8" w:space="0" w:color="auto"/>
              <w:right w:val="single" w:sz="8" w:space="0" w:color="auto"/>
            </w:tcBorders>
            <w:shd w:val="clear" w:color="auto" w:fill="auto"/>
            <w:noWrap/>
            <w:vAlign w:val="center"/>
            <w:hideMark/>
          </w:tcPr>
          <w:p w14:paraId="0E695155" w14:textId="77777777" w:rsidR="00E3087D" w:rsidRPr="00B7014C" w:rsidRDefault="00E3087D" w:rsidP="00890082">
            <w:pPr>
              <w:jc w:val="center"/>
              <w:rPr>
                <w:color w:val="000000"/>
                <w:sz w:val="22"/>
                <w:szCs w:val="22"/>
                <w:lang w:eastAsia="en-GB"/>
              </w:rPr>
            </w:pPr>
            <w:r w:rsidRPr="00B7014C">
              <w:rPr>
                <w:color w:val="000000"/>
                <w:sz w:val="22"/>
                <w:szCs w:val="22"/>
                <w:lang w:eastAsia="en-GB"/>
              </w:rPr>
              <w:t>297</w:t>
            </w:r>
          </w:p>
        </w:tc>
        <w:tc>
          <w:tcPr>
            <w:tcW w:w="480" w:type="pct"/>
            <w:tcBorders>
              <w:top w:val="nil"/>
              <w:left w:val="nil"/>
              <w:bottom w:val="single" w:sz="8" w:space="0" w:color="auto"/>
              <w:right w:val="single" w:sz="8" w:space="0" w:color="auto"/>
            </w:tcBorders>
            <w:vAlign w:val="center"/>
          </w:tcPr>
          <w:p w14:paraId="7961EDE9" w14:textId="77777777" w:rsidR="00E3087D" w:rsidRPr="00B7014C" w:rsidRDefault="00E3087D" w:rsidP="00890082">
            <w:pPr>
              <w:jc w:val="center"/>
              <w:rPr>
                <w:color w:val="000000"/>
                <w:sz w:val="22"/>
                <w:szCs w:val="22"/>
                <w:lang w:eastAsia="en-GB"/>
              </w:rPr>
            </w:pPr>
            <w:r w:rsidRPr="00B7014C">
              <w:rPr>
                <w:color w:val="000000"/>
                <w:sz w:val="22"/>
                <w:szCs w:val="22"/>
                <w:lang w:eastAsia="en-GB"/>
              </w:rPr>
              <w:t>283</w:t>
            </w:r>
          </w:p>
        </w:tc>
        <w:tc>
          <w:tcPr>
            <w:tcW w:w="480" w:type="pct"/>
            <w:tcBorders>
              <w:top w:val="nil"/>
              <w:left w:val="nil"/>
              <w:bottom w:val="single" w:sz="8" w:space="0" w:color="auto"/>
              <w:right w:val="single" w:sz="8" w:space="0" w:color="auto"/>
            </w:tcBorders>
            <w:vAlign w:val="center"/>
          </w:tcPr>
          <w:p w14:paraId="3CF10126" w14:textId="77777777" w:rsidR="00E3087D" w:rsidRPr="00B7014C" w:rsidRDefault="00E3087D" w:rsidP="00890082">
            <w:pPr>
              <w:jc w:val="center"/>
              <w:rPr>
                <w:color w:val="000000"/>
                <w:sz w:val="22"/>
                <w:szCs w:val="22"/>
                <w:lang w:eastAsia="en-GB"/>
              </w:rPr>
            </w:pPr>
            <w:r>
              <w:rPr>
                <w:color w:val="000000"/>
                <w:sz w:val="22"/>
                <w:szCs w:val="22"/>
                <w:lang w:eastAsia="en-GB"/>
              </w:rPr>
              <w:t>267</w:t>
            </w:r>
          </w:p>
        </w:tc>
        <w:tc>
          <w:tcPr>
            <w:tcW w:w="480" w:type="pct"/>
            <w:tcBorders>
              <w:top w:val="nil"/>
              <w:left w:val="nil"/>
              <w:bottom w:val="single" w:sz="8" w:space="0" w:color="auto"/>
              <w:right w:val="single" w:sz="8" w:space="0" w:color="auto"/>
            </w:tcBorders>
            <w:vAlign w:val="center"/>
          </w:tcPr>
          <w:p w14:paraId="04C5F23D" w14:textId="77777777" w:rsidR="00E3087D" w:rsidRDefault="00E3087D" w:rsidP="00890082">
            <w:pPr>
              <w:jc w:val="center"/>
              <w:rPr>
                <w:color w:val="000000"/>
                <w:sz w:val="22"/>
                <w:szCs w:val="22"/>
                <w:lang w:eastAsia="en-GB"/>
              </w:rPr>
            </w:pPr>
            <w:r>
              <w:rPr>
                <w:color w:val="000000"/>
                <w:sz w:val="22"/>
                <w:szCs w:val="22"/>
                <w:lang w:eastAsia="en-GB"/>
              </w:rPr>
              <w:t>270</w:t>
            </w:r>
          </w:p>
        </w:tc>
      </w:tr>
      <w:tr w:rsidR="00E3087D" w:rsidRPr="00B7014C" w14:paraId="2AA02219" w14:textId="77777777" w:rsidTr="00890082">
        <w:trPr>
          <w:trHeight w:val="40"/>
        </w:trPr>
        <w:tc>
          <w:tcPr>
            <w:tcW w:w="2120" w:type="pct"/>
            <w:tcBorders>
              <w:top w:val="nil"/>
              <w:left w:val="single" w:sz="8" w:space="0" w:color="auto"/>
              <w:bottom w:val="single" w:sz="8" w:space="0" w:color="auto"/>
              <w:right w:val="single" w:sz="8" w:space="0" w:color="auto"/>
            </w:tcBorders>
            <w:shd w:val="clear" w:color="auto" w:fill="auto"/>
            <w:noWrap/>
            <w:vAlign w:val="center"/>
            <w:hideMark/>
          </w:tcPr>
          <w:p w14:paraId="2149F96F" w14:textId="77777777" w:rsidR="00E3087D" w:rsidRPr="00B7014C" w:rsidRDefault="00E3087D" w:rsidP="00890082">
            <w:pPr>
              <w:rPr>
                <w:color w:val="000000"/>
                <w:sz w:val="22"/>
                <w:szCs w:val="22"/>
                <w:lang w:eastAsia="en-GB"/>
              </w:rPr>
            </w:pPr>
            <w:r w:rsidRPr="00B7014C">
              <w:rPr>
                <w:color w:val="000000"/>
                <w:sz w:val="22"/>
                <w:szCs w:val="22"/>
                <w:lang w:eastAsia="en-GB"/>
              </w:rPr>
              <w:t>Residents of Barnet</w:t>
            </w:r>
          </w:p>
        </w:tc>
        <w:tc>
          <w:tcPr>
            <w:tcW w:w="480" w:type="pct"/>
            <w:tcBorders>
              <w:top w:val="nil"/>
              <w:left w:val="nil"/>
              <w:bottom w:val="single" w:sz="8" w:space="0" w:color="auto"/>
              <w:right w:val="single" w:sz="8" w:space="0" w:color="auto"/>
            </w:tcBorders>
            <w:shd w:val="clear" w:color="auto" w:fill="auto"/>
            <w:noWrap/>
            <w:vAlign w:val="center"/>
            <w:hideMark/>
          </w:tcPr>
          <w:p w14:paraId="2DF2C8C7" w14:textId="77777777" w:rsidR="00E3087D" w:rsidRPr="00B7014C" w:rsidRDefault="00E3087D" w:rsidP="00890082">
            <w:pPr>
              <w:jc w:val="center"/>
              <w:rPr>
                <w:color w:val="000000"/>
                <w:sz w:val="22"/>
                <w:szCs w:val="22"/>
                <w:lang w:eastAsia="en-GB"/>
              </w:rPr>
            </w:pPr>
            <w:r w:rsidRPr="00B7014C">
              <w:rPr>
                <w:color w:val="000000"/>
                <w:sz w:val="22"/>
                <w:szCs w:val="22"/>
                <w:lang w:eastAsia="en-GB"/>
              </w:rPr>
              <w:t>205</w:t>
            </w:r>
          </w:p>
        </w:tc>
        <w:tc>
          <w:tcPr>
            <w:tcW w:w="480" w:type="pct"/>
            <w:tcBorders>
              <w:top w:val="nil"/>
              <w:left w:val="nil"/>
              <w:bottom w:val="single" w:sz="8" w:space="0" w:color="auto"/>
              <w:right w:val="single" w:sz="8" w:space="0" w:color="auto"/>
            </w:tcBorders>
            <w:shd w:val="clear" w:color="auto" w:fill="auto"/>
            <w:noWrap/>
            <w:vAlign w:val="center"/>
            <w:hideMark/>
          </w:tcPr>
          <w:p w14:paraId="560D4FA3" w14:textId="77777777" w:rsidR="00E3087D" w:rsidRPr="00B7014C" w:rsidRDefault="00E3087D" w:rsidP="00890082">
            <w:pPr>
              <w:jc w:val="center"/>
              <w:rPr>
                <w:color w:val="000000"/>
                <w:sz w:val="22"/>
                <w:szCs w:val="22"/>
                <w:lang w:eastAsia="en-GB"/>
              </w:rPr>
            </w:pPr>
            <w:r w:rsidRPr="00B7014C">
              <w:rPr>
                <w:color w:val="000000"/>
                <w:sz w:val="22"/>
                <w:szCs w:val="22"/>
                <w:lang w:eastAsia="en-GB"/>
              </w:rPr>
              <w:t>204</w:t>
            </w:r>
          </w:p>
        </w:tc>
        <w:tc>
          <w:tcPr>
            <w:tcW w:w="481" w:type="pct"/>
            <w:tcBorders>
              <w:top w:val="nil"/>
              <w:left w:val="nil"/>
              <w:bottom w:val="single" w:sz="8" w:space="0" w:color="auto"/>
              <w:right w:val="single" w:sz="8" w:space="0" w:color="auto"/>
            </w:tcBorders>
            <w:shd w:val="clear" w:color="auto" w:fill="auto"/>
            <w:noWrap/>
            <w:vAlign w:val="center"/>
            <w:hideMark/>
          </w:tcPr>
          <w:p w14:paraId="57B4F5C8" w14:textId="77777777" w:rsidR="00E3087D" w:rsidRPr="00B7014C" w:rsidRDefault="00E3087D" w:rsidP="00890082">
            <w:pPr>
              <w:jc w:val="center"/>
              <w:rPr>
                <w:color w:val="000000"/>
                <w:sz w:val="22"/>
                <w:szCs w:val="22"/>
                <w:lang w:eastAsia="en-GB"/>
              </w:rPr>
            </w:pPr>
            <w:r w:rsidRPr="00B7014C">
              <w:rPr>
                <w:color w:val="000000"/>
                <w:sz w:val="22"/>
                <w:szCs w:val="22"/>
                <w:lang w:eastAsia="en-GB"/>
              </w:rPr>
              <w:t>211</w:t>
            </w:r>
          </w:p>
        </w:tc>
        <w:tc>
          <w:tcPr>
            <w:tcW w:w="480" w:type="pct"/>
            <w:tcBorders>
              <w:top w:val="nil"/>
              <w:left w:val="nil"/>
              <w:bottom w:val="single" w:sz="8" w:space="0" w:color="auto"/>
              <w:right w:val="single" w:sz="8" w:space="0" w:color="auto"/>
            </w:tcBorders>
            <w:vAlign w:val="center"/>
          </w:tcPr>
          <w:p w14:paraId="5445E421" w14:textId="77777777" w:rsidR="00E3087D" w:rsidRPr="00B7014C" w:rsidRDefault="00E3087D" w:rsidP="00890082">
            <w:pPr>
              <w:jc w:val="center"/>
              <w:rPr>
                <w:color w:val="000000"/>
                <w:sz w:val="22"/>
                <w:szCs w:val="22"/>
                <w:lang w:eastAsia="en-GB"/>
              </w:rPr>
            </w:pPr>
            <w:r w:rsidRPr="00B7014C">
              <w:rPr>
                <w:color w:val="000000"/>
                <w:sz w:val="22"/>
                <w:szCs w:val="22"/>
                <w:lang w:eastAsia="en-GB"/>
              </w:rPr>
              <w:t>223</w:t>
            </w:r>
          </w:p>
        </w:tc>
        <w:tc>
          <w:tcPr>
            <w:tcW w:w="480" w:type="pct"/>
            <w:tcBorders>
              <w:top w:val="nil"/>
              <w:left w:val="nil"/>
              <w:bottom w:val="single" w:sz="8" w:space="0" w:color="auto"/>
              <w:right w:val="single" w:sz="8" w:space="0" w:color="auto"/>
            </w:tcBorders>
            <w:vAlign w:val="center"/>
          </w:tcPr>
          <w:p w14:paraId="184DA41A" w14:textId="77777777" w:rsidR="00E3087D" w:rsidRPr="00B7014C" w:rsidRDefault="00E3087D" w:rsidP="00890082">
            <w:pPr>
              <w:jc w:val="center"/>
              <w:rPr>
                <w:color w:val="000000"/>
                <w:sz w:val="22"/>
                <w:szCs w:val="22"/>
                <w:lang w:eastAsia="en-GB"/>
              </w:rPr>
            </w:pPr>
            <w:r>
              <w:rPr>
                <w:color w:val="000000"/>
                <w:sz w:val="22"/>
                <w:szCs w:val="22"/>
                <w:lang w:eastAsia="en-GB"/>
              </w:rPr>
              <w:t>230</w:t>
            </w:r>
          </w:p>
        </w:tc>
        <w:tc>
          <w:tcPr>
            <w:tcW w:w="480" w:type="pct"/>
            <w:tcBorders>
              <w:top w:val="nil"/>
              <w:left w:val="nil"/>
              <w:bottom w:val="single" w:sz="8" w:space="0" w:color="auto"/>
              <w:right w:val="single" w:sz="8" w:space="0" w:color="auto"/>
            </w:tcBorders>
            <w:vAlign w:val="center"/>
          </w:tcPr>
          <w:p w14:paraId="759D3250" w14:textId="77777777" w:rsidR="00E3087D" w:rsidRDefault="00E3087D" w:rsidP="00890082">
            <w:pPr>
              <w:jc w:val="center"/>
              <w:rPr>
                <w:color w:val="000000"/>
                <w:sz w:val="22"/>
                <w:szCs w:val="22"/>
                <w:lang w:eastAsia="en-GB"/>
              </w:rPr>
            </w:pPr>
            <w:r>
              <w:rPr>
                <w:color w:val="000000"/>
                <w:sz w:val="22"/>
                <w:szCs w:val="22"/>
                <w:lang w:eastAsia="en-GB"/>
              </w:rPr>
              <w:t>218</w:t>
            </w:r>
          </w:p>
        </w:tc>
      </w:tr>
      <w:tr w:rsidR="00E3087D" w:rsidRPr="00B7014C" w14:paraId="4C41F73A" w14:textId="77777777" w:rsidTr="00890082">
        <w:trPr>
          <w:trHeight w:val="62"/>
        </w:trPr>
        <w:tc>
          <w:tcPr>
            <w:tcW w:w="2120" w:type="pct"/>
            <w:tcBorders>
              <w:top w:val="nil"/>
              <w:left w:val="single" w:sz="8" w:space="0" w:color="auto"/>
              <w:bottom w:val="single" w:sz="8" w:space="0" w:color="auto"/>
              <w:right w:val="single" w:sz="8" w:space="0" w:color="auto"/>
            </w:tcBorders>
            <w:shd w:val="clear" w:color="auto" w:fill="auto"/>
            <w:noWrap/>
            <w:vAlign w:val="center"/>
            <w:hideMark/>
          </w:tcPr>
          <w:p w14:paraId="5C48D672" w14:textId="77777777" w:rsidR="00E3087D" w:rsidRPr="00B7014C" w:rsidRDefault="00E3087D" w:rsidP="00890082">
            <w:pPr>
              <w:rPr>
                <w:color w:val="000000"/>
                <w:sz w:val="22"/>
                <w:szCs w:val="22"/>
                <w:lang w:eastAsia="en-GB"/>
              </w:rPr>
            </w:pPr>
            <w:r w:rsidRPr="00B7014C">
              <w:rPr>
                <w:color w:val="000000"/>
                <w:sz w:val="22"/>
                <w:szCs w:val="22"/>
                <w:lang w:eastAsia="en-GB"/>
              </w:rPr>
              <w:t>Other Las</w:t>
            </w:r>
          </w:p>
        </w:tc>
        <w:tc>
          <w:tcPr>
            <w:tcW w:w="480" w:type="pct"/>
            <w:tcBorders>
              <w:top w:val="nil"/>
              <w:left w:val="nil"/>
              <w:bottom w:val="single" w:sz="8" w:space="0" w:color="auto"/>
              <w:right w:val="single" w:sz="8" w:space="0" w:color="auto"/>
            </w:tcBorders>
            <w:shd w:val="clear" w:color="auto" w:fill="auto"/>
            <w:noWrap/>
            <w:vAlign w:val="center"/>
            <w:hideMark/>
          </w:tcPr>
          <w:p w14:paraId="7157CA8C" w14:textId="77777777" w:rsidR="00E3087D" w:rsidRPr="00B7014C" w:rsidRDefault="00E3087D" w:rsidP="00890082">
            <w:pPr>
              <w:jc w:val="center"/>
              <w:rPr>
                <w:color w:val="000000"/>
                <w:sz w:val="22"/>
                <w:szCs w:val="22"/>
                <w:lang w:eastAsia="en-GB"/>
              </w:rPr>
            </w:pPr>
            <w:r w:rsidRPr="00B7014C">
              <w:rPr>
                <w:color w:val="000000"/>
                <w:sz w:val="22"/>
                <w:szCs w:val="22"/>
                <w:lang w:eastAsia="en-GB"/>
              </w:rPr>
              <w:t>42</w:t>
            </w:r>
          </w:p>
        </w:tc>
        <w:tc>
          <w:tcPr>
            <w:tcW w:w="480" w:type="pct"/>
            <w:tcBorders>
              <w:top w:val="nil"/>
              <w:left w:val="nil"/>
              <w:bottom w:val="single" w:sz="8" w:space="0" w:color="auto"/>
              <w:right w:val="single" w:sz="8" w:space="0" w:color="auto"/>
            </w:tcBorders>
            <w:shd w:val="clear" w:color="auto" w:fill="auto"/>
            <w:noWrap/>
            <w:vAlign w:val="center"/>
            <w:hideMark/>
          </w:tcPr>
          <w:p w14:paraId="500255B8" w14:textId="77777777" w:rsidR="00E3087D" w:rsidRPr="00B7014C" w:rsidRDefault="00E3087D" w:rsidP="00890082">
            <w:pPr>
              <w:jc w:val="center"/>
              <w:rPr>
                <w:color w:val="000000"/>
                <w:sz w:val="22"/>
                <w:szCs w:val="22"/>
                <w:lang w:eastAsia="en-GB"/>
              </w:rPr>
            </w:pPr>
            <w:r w:rsidRPr="00B7014C">
              <w:rPr>
                <w:color w:val="000000"/>
                <w:sz w:val="22"/>
                <w:szCs w:val="22"/>
                <w:lang w:eastAsia="en-GB"/>
              </w:rPr>
              <w:t>36</w:t>
            </w:r>
          </w:p>
        </w:tc>
        <w:tc>
          <w:tcPr>
            <w:tcW w:w="481" w:type="pct"/>
            <w:tcBorders>
              <w:top w:val="nil"/>
              <w:left w:val="nil"/>
              <w:bottom w:val="single" w:sz="8" w:space="0" w:color="auto"/>
              <w:right w:val="single" w:sz="8" w:space="0" w:color="auto"/>
            </w:tcBorders>
            <w:shd w:val="clear" w:color="auto" w:fill="auto"/>
            <w:noWrap/>
            <w:vAlign w:val="center"/>
            <w:hideMark/>
          </w:tcPr>
          <w:p w14:paraId="049F4D3D" w14:textId="77777777" w:rsidR="00E3087D" w:rsidRPr="00B7014C" w:rsidRDefault="00E3087D" w:rsidP="00890082">
            <w:pPr>
              <w:jc w:val="center"/>
              <w:rPr>
                <w:color w:val="000000"/>
                <w:sz w:val="22"/>
                <w:szCs w:val="22"/>
                <w:lang w:eastAsia="en-GB"/>
              </w:rPr>
            </w:pPr>
            <w:r w:rsidRPr="00B7014C">
              <w:rPr>
                <w:color w:val="000000"/>
                <w:sz w:val="22"/>
                <w:szCs w:val="22"/>
                <w:lang w:eastAsia="en-GB"/>
              </w:rPr>
              <w:t>48</w:t>
            </w:r>
          </w:p>
        </w:tc>
        <w:tc>
          <w:tcPr>
            <w:tcW w:w="480" w:type="pct"/>
            <w:tcBorders>
              <w:top w:val="nil"/>
              <w:left w:val="nil"/>
              <w:bottom w:val="single" w:sz="8" w:space="0" w:color="auto"/>
              <w:right w:val="single" w:sz="8" w:space="0" w:color="auto"/>
            </w:tcBorders>
            <w:vAlign w:val="center"/>
          </w:tcPr>
          <w:p w14:paraId="6E62C505" w14:textId="77777777" w:rsidR="00E3087D" w:rsidRPr="00B7014C" w:rsidRDefault="00E3087D" w:rsidP="00890082">
            <w:pPr>
              <w:jc w:val="center"/>
              <w:rPr>
                <w:color w:val="000000"/>
                <w:sz w:val="22"/>
                <w:szCs w:val="22"/>
                <w:lang w:eastAsia="en-GB"/>
              </w:rPr>
            </w:pPr>
            <w:r w:rsidRPr="00B7014C">
              <w:rPr>
                <w:color w:val="000000"/>
                <w:sz w:val="22"/>
                <w:szCs w:val="22"/>
                <w:lang w:eastAsia="en-GB"/>
              </w:rPr>
              <w:t>48</w:t>
            </w:r>
          </w:p>
        </w:tc>
        <w:tc>
          <w:tcPr>
            <w:tcW w:w="480" w:type="pct"/>
            <w:tcBorders>
              <w:top w:val="nil"/>
              <w:left w:val="nil"/>
              <w:bottom w:val="single" w:sz="8" w:space="0" w:color="auto"/>
              <w:right w:val="single" w:sz="8" w:space="0" w:color="auto"/>
            </w:tcBorders>
            <w:vAlign w:val="center"/>
          </w:tcPr>
          <w:p w14:paraId="5E2D42EE" w14:textId="77777777" w:rsidR="00E3087D" w:rsidRPr="00B7014C" w:rsidRDefault="00E3087D" w:rsidP="00890082">
            <w:pPr>
              <w:jc w:val="center"/>
              <w:rPr>
                <w:color w:val="000000"/>
                <w:sz w:val="22"/>
                <w:szCs w:val="22"/>
                <w:lang w:eastAsia="en-GB"/>
              </w:rPr>
            </w:pPr>
            <w:r>
              <w:rPr>
                <w:color w:val="000000"/>
                <w:sz w:val="22"/>
                <w:szCs w:val="22"/>
                <w:lang w:eastAsia="en-GB"/>
              </w:rPr>
              <w:t>48</w:t>
            </w:r>
          </w:p>
        </w:tc>
        <w:tc>
          <w:tcPr>
            <w:tcW w:w="480" w:type="pct"/>
            <w:tcBorders>
              <w:top w:val="nil"/>
              <w:left w:val="nil"/>
              <w:bottom w:val="single" w:sz="8" w:space="0" w:color="auto"/>
              <w:right w:val="single" w:sz="8" w:space="0" w:color="auto"/>
            </w:tcBorders>
            <w:vAlign w:val="center"/>
          </w:tcPr>
          <w:p w14:paraId="096D96E1" w14:textId="77777777" w:rsidR="00E3087D" w:rsidRDefault="00E3087D" w:rsidP="00890082">
            <w:pPr>
              <w:jc w:val="center"/>
              <w:rPr>
                <w:color w:val="000000"/>
                <w:sz w:val="22"/>
                <w:szCs w:val="22"/>
                <w:lang w:eastAsia="en-GB"/>
              </w:rPr>
            </w:pPr>
            <w:r>
              <w:rPr>
                <w:color w:val="000000"/>
                <w:sz w:val="22"/>
                <w:szCs w:val="22"/>
                <w:lang w:eastAsia="en-GB"/>
              </w:rPr>
              <w:t>30</w:t>
            </w:r>
          </w:p>
        </w:tc>
      </w:tr>
      <w:tr w:rsidR="00E3087D" w:rsidRPr="00B7014C" w14:paraId="0FE08B95" w14:textId="77777777" w:rsidTr="00890082">
        <w:trPr>
          <w:trHeight w:val="66"/>
        </w:trPr>
        <w:tc>
          <w:tcPr>
            <w:tcW w:w="2120" w:type="pct"/>
            <w:tcBorders>
              <w:top w:val="nil"/>
              <w:left w:val="single" w:sz="8" w:space="0" w:color="auto"/>
              <w:bottom w:val="single" w:sz="8" w:space="0" w:color="auto"/>
              <w:right w:val="single" w:sz="8" w:space="0" w:color="auto"/>
            </w:tcBorders>
            <w:shd w:val="clear" w:color="auto" w:fill="auto"/>
            <w:noWrap/>
            <w:vAlign w:val="center"/>
            <w:hideMark/>
          </w:tcPr>
          <w:p w14:paraId="19B63C79" w14:textId="77777777" w:rsidR="00E3087D" w:rsidRPr="00B7014C" w:rsidRDefault="00E3087D" w:rsidP="00890082">
            <w:pPr>
              <w:rPr>
                <w:color w:val="000000"/>
                <w:sz w:val="22"/>
                <w:szCs w:val="22"/>
                <w:lang w:eastAsia="en-GB"/>
              </w:rPr>
            </w:pPr>
            <w:r w:rsidRPr="00B7014C">
              <w:rPr>
                <w:color w:val="000000"/>
                <w:sz w:val="22"/>
                <w:szCs w:val="22"/>
                <w:lang w:eastAsia="en-GB"/>
              </w:rPr>
              <w:t>Unknown*</w:t>
            </w:r>
          </w:p>
        </w:tc>
        <w:tc>
          <w:tcPr>
            <w:tcW w:w="480" w:type="pct"/>
            <w:tcBorders>
              <w:top w:val="nil"/>
              <w:left w:val="nil"/>
              <w:bottom w:val="single" w:sz="8" w:space="0" w:color="auto"/>
              <w:right w:val="single" w:sz="8" w:space="0" w:color="auto"/>
            </w:tcBorders>
            <w:shd w:val="clear" w:color="auto" w:fill="auto"/>
            <w:noWrap/>
            <w:vAlign w:val="center"/>
            <w:hideMark/>
          </w:tcPr>
          <w:p w14:paraId="7F3A9D9C" w14:textId="77777777" w:rsidR="00E3087D" w:rsidRPr="00B7014C" w:rsidRDefault="00E3087D" w:rsidP="00890082">
            <w:pPr>
              <w:jc w:val="center"/>
              <w:rPr>
                <w:color w:val="000000"/>
                <w:sz w:val="22"/>
                <w:szCs w:val="22"/>
                <w:lang w:eastAsia="en-GB"/>
              </w:rPr>
            </w:pPr>
            <w:r w:rsidRPr="00B7014C">
              <w:rPr>
                <w:color w:val="000000"/>
                <w:sz w:val="22"/>
                <w:szCs w:val="22"/>
                <w:lang w:eastAsia="en-GB"/>
              </w:rPr>
              <w:t>9</w:t>
            </w:r>
          </w:p>
        </w:tc>
        <w:tc>
          <w:tcPr>
            <w:tcW w:w="480" w:type="pct"/>
            <w:tcBorders>
              <w:top w:val="nil"/>
              <w:left w:val="nil"/>
              <w:bottom w:val="single" w:sz="8" w:space="0" w:color="auto"/>
              <w:right w:val="single" w:sz="8" w:space="0" w:color="auto"/>
            </w:tcBorders>
            <w:shd w:val="clear" w:color="auto" w:fill="auto"/>
            <w:noWrap/>
            <w:vAlign w:val="center"/>
            <w:hideMark/>
          </w:tcPr>
          <w:p w14:paraId="06BD5798" w14:textId="77777777" w:rsidR="00E3087D" w:rsidRPr="00B7014C" w:rsidRDefault="00E3087D" w:rsidP="00890082">
            <w:pPr>
              <w:jc w:val="center"/>
              <w:rPr>
                <w:color w:val="000000"/>
                <w:sz w:val="22"/>
                <w:szCs w:val="22"/>
                <w:lang w:eastAsia="en-GB"/>
              </w:rPr>
            </w:pPr>
            <w:r w:rsidRPr="00B7014C">
              <w:rPr>
                <w:color w:val="000000"/>
                <w:sz w:val="22"/>
                <w:szCs w:val="22"/>
                <w:lang w:eastAsia="en-GB"/>
              </w:rPr>
              <w:t>6</w:t>
            </w:r>
          </w:p>
        </w:tc>
        <w:tc>
          <w:tcPr>
            <w:tcW w:w="481" w:type="pct"/>
            <w:tcBorders>
              <w:top w:val="nil"/>
              <w:left w:val="nil"/>
              <w:bottom w:val="single" w:sz="8" w:space="0" w:color="auto"/>
              <w:right w:val="single" w:sz="8" w:space="0" w:color="auto"/>
            </w:tcBorders>
            <w:shd w:val="clear" w:color="auto" w:fill="auto"/>
            <w:noWrap/>
            <w:vAlign w:val="center"/>
            <w:hideMark/>
          </w:tcPr>
          <w:p w14:paraId="28D627AE" w14:textId="77777777" w:rsidR="00E3087D" w:rsidRPr="00B7014C" w:rsidRDefault="00E3087D" w:rsidP="00890082">
            <w:pPr>
              <w:jc w:val="center"/>
              <w:rPr>
                <w:color w:val="000000"/>
                <w:sz w:val="22"/>
                <w:szCs w:val="22"/>
                <w:lang w:eastAsia="en-GB"/>
              </w:rPr>
            </w:pPr>
            <w:r w:rsidRPr="00B7014C">
              <w:rPr>
                <w:color w:val="000000"/>
                <w:sz w:val="22"/>
                <w:szCs w:val="22"/>
                <w:lang w:eastAsia="en-GB"/>
              </w:rPr>
              <w:t>2</w:t>
            </w:r>
          </w:p>
        </w:tc>
        <w:tc>
          <w:tcPr>
            <w:tcW w:w="480" w:type="pct"/>
            <w:tcBorders>
              <w:top w:val="nil"/>
              <w:left w:val="nil"/>
              <w:bottom w:val="single" w:sz="8" w:space="0" w:color="auto"/>
              <w:right w:val="single" w:sz="8" w:space="0" w:color="auto"/>
            </w:tcBorders>
            <w:vAlign w:val="center"/>
          </w:tcPr>
          <w:p w14:paraId="3ABD004C" w14:textId="77777777" w:rsidR="00E3087D" w:rsidRPr="00B7014C" w:rsidRDefault="00E3087D" w:rsidP="00890082">
            <w:pPr>
              <w:jc w:val="center"/>
              <w:rPr>
                <w:color w:val="000000"/>
                <w:sz w:val="22"/>
                <w:szCs w:val="22"/>
                <w:lang w:eastAsia="en-GB"/>
              </w:rPr>
            </w:pPr>
            <w:r w:rsidRPr="00B7014C">
              <w:rPr>
                <w:color w:val="000000"/>
                <w:sz w:val="22"/>
                <w:szCs w:val="22"/>
                <w:lang w:eastAsia="en-GB"/>
              </w:rPr>
              <w:t>6</w:t>
            </w:r>
          </w:p>
        </w:tc>
        <w:tc>
          <w:tcPr>
            <w:tcW w:w="480" w:type="pct"/>
            <w:tcBorders>
              <w:top w:val="nil"/>
              <w:left w:val="nil"/>
              <w:bottom w:val="single" w:sz="8" w:space="0" w:color="auto"/>
              <w:right w:val="single" w:sz="8" w:space="0" w:color="auto"/>
            </w:tcBorders>
            <w:vAlign w:val="center"/>
          </w:tcPr>
          <w:p w14:paraId="7FC14563" w14:textId="77777777" w:rsidR="00E3087D" w:rsidRPr="00B7014C" w:rsidRDefault="00E3087D" w:rsidP="00890082">
            <w:pPr>
              <w:jc w:val="center"/>
              <w:rPr>
                <w:color w:val="000000"/>
                <w:sz w:val="22"/>
                <w:szCs w:val="22"/>
                <w:lang w:eastAsia="en-GB"/>
              </w:rPr>
            </w:pPr>
            <w:r>
              <w:rPr>
                <w:color w:val="000000"/>
                <w:sz w:val="22"/>
                <w:szCs w:val="22"/>
                <w:lang w:eastAsia="en-GB"/>
              </w:rPr>
              <w:t>3</w:t>
            </w:r>
          </w:p>
        </w:tc>
        <w:tc>
          <w:tcPr>
            <w:tcW w:w="480" w:type="pct"/>
            <w:tcBorders>
              <w:top w:val="nil"/>
              <w:left w:val="nil"/>
              <w:bottom w:val="single" w:sz="8" w:space="0" w:color="auto"/>
              <w:right w:val="single" w:sz="8" w:space="0" w:color="auto"/>
            </w:tcBorders>
            <w:vAlign w:val="center"/>
          </w:tcPr>
          <w:p w14:paraId="348FE8BE" w14:textId="77777777" w:rsidR="00E3087D" w:rsidRDefault="00E3087D" w:rsidP="00890082">
            <w:pPr>
              <w:jc w:val="center"/>
              <w:rPr>
                <w:color w:val="000000"/>
                <w:sz w:val="22"/>
                <w:szCs w:val="22"/>
                <w:lang w:eastAsia="en-GB"/>
              </w:rPr>
            </w:pPr>
            <w:r>
              <w:rPr>
                <w:color w:val="000000"/>
                <w:sz w:val="22"/>
                <w:szCs w:val="22"/>
                <w:lang w:eastAsia="en-GB"/>
              </w:rPr>
              <w:t>0</w:t>
            </w:r>
          </w:p>
        </w:tc>
      </w:tr>
      <w:tr w:rsidR="00E3087D" w:rsidRPr="00B7014C" w14:paraId="2010D2DC" w14:textId="77777777" w:rsidTr="00890082">
        <w:trPr>
          <w:trHeight w:val="212"/>
        </w:trPr>
        <w:tc>
          <w:tcPr>
            <w:tcW w:w="2120" w:type="pct"/>
            <w:tcBorders>
              <w:top w:val="nil"/>
              <w:left w:val="single" w:sz="8" w:space="0" w:color="auto"/>
              <w:bottom w:val="single" w:sz="8" w:space="0" w:color="auto"/>
              <w:right w:val="single" w:sz="8" w:space="0" w:color="auto"/>
            </w:tcBorders>
            <w:shd w:val="clear" w:color="auto" w:fill="auto"/>
            <w:noWrap/>
            <w:vAlign w:val="center"/>
            <w:hideMark/>
          </w:tcPr>
          <w:p w14:paraId="34577C57" w14:textId="77777777" w:rsidR="00E3087D" w:rsidRPr="00B7014C" w:rsidRDefault="00E3087D" w:rsidP="00890082">
            <w:pPr>
              <w:rPr>
                <w:b/>
                <w:bCs/>
                <w:color w:val="000000"/>
                <w:sz w:val="22"/>
                <w:szCs w:val="22"/>
                <w:lang w:eastAsia="en-GB"/>
              </w:rPr>
            </w:pPr>
            <w:r w:rsidRPr="00B7014C">
              <w:rPr>
                <w:b/>
                <w:bCs/>
                <w:color w:val="000000"/>
                <w:sz w:val="22"/>
                <w:szCs w:val="22"/>
                <w:lang w:eastAsia="en-GB"/>
              </w:rPr>
              <w:t>Total out of borough pupils imported</w:t>
            </w:r>
          </w:p>
        </w:tc>
        <w:tc>
          <w:tcPr>
            <w:tcW w:w="480" w:type="pct"/>
            <w:tcBorders>
              <w:top w:val="nil"/>
              <w:left w:val="nil"/>
              <w:bottom w:val="single" w:sz="8" w:space="0" w:color="auto"/>
              <w:right w:val="single" w:sz="8" w:space="0" w:color="auto"/>
            </w:tcBorders>
            <w:shd w:val="clear" w:color="auto" w:fill="auto"/>
            <w:noWrap/>
            <w:vAlign w:val="center"/>
            <w:hideMark/>
          </w:tcPr>
          <w:p w14:paraId="1B49EBB3" w14:textId="77777777" w:rsidR="00E3087D" w:rsidRPr="00B7014C" w:rsidRDefault="00E3087D" w:rsidP="00890082">
            <w:pPr>
              <w:jc w:val="center"/>
              <w:rPr>
                <w:b/>
                <w:bCs/>
                <w:color w:val="000000"/>
                <w:sz w:val="22"/>
                <w:szCs w:val="22"/>
                <w:lang w:eastAsia="en-GB"/>
              </w:rPr>
            </w:pPr>
            <w:r w:rsidRPr="00B7014C">
              <w:rPr>
                <w:b/>
                <w:bCs/>
                <w:color w:val="000000"/>
                <w:sz w:val="22"/>
                <w:szCs w:val="22"/>
                <w:lang w:eastAsia="en-GB"/>
              </w:rPr>
              <w:t>2,060</w:t>
            </w:r>
          </w:p>
        </w:tc>
        <w:tc>
          <w:tcPr>
            <w:tcW w:w="480" w:type="pct"/>
            <w:tcBorders>
              <w:top w:val="nil"/>
              <w:left w:val="nil"/>
              <w:bottom w:val="single" w:sz="8" w:space="0" w:color="auto"/>
              <w:right w:val="single" w:sz="8" w:space="0" w:color="auto"/>
            </w:tcBorders>
            <w:shd w:val="clear" w:color="auto" w:fill="auto"/>
            <w:noWrap/>
            <w:vAlign w:val="center"/>
            <w:hideMark/>
          </w:tcPr>
          <w:p w14:paraId="7DE4008C" w14:textId="77777777" w:rsidR="00E3087D" w:rsidRPr="00B7014C" w:rsidRDefault="00E3087D" w:rsidP="00890082">
            <w:pPr>
              <w:jc w:val="center"/>
              <w:rPr>
                <w:b/>
                <w:bCs/>
                <w:color w:val="000000"/>
                <w:sz w:val="22"/>
                <w:szCs w:val="22"/>
                <w:lang w:eastAsia="en-GB"/>
              </w:rPr>
            </w:pPr>
            <w:r w:rsidRPr="00B7014C">
              <w:rPr>
                <w:b/>
                <w:bCs/>
                <w:color w:val="000000"/>
                <w:sz w:val="22"/>
                <w:szCs w:val="22"/>
                <w:lang w:eastAsia="en-GB"/>
              </w:rPr>
              <w:t>2,110</w:t>
            </w:r>
          </w:p>
        </w:tc>
        <w:tc>
          <w:tcPr>
            <w:tcW w:w="481" w:type="pct"/>
            <w:tcBorders>
              <w:top w:val="nil"/>
              <w:left w:val="nil"/>
              <w:bottom w:val="single" w:sz="8" w:space="0" w:color="auto"/>
              <w:right w:val="single" w:sz="8" w:space="0" w:color="auto"/>
            </w:tcBorders>
            <w:shd w:val="clear" w:color="auto" w:fill="auto"/>
            <w:noWrap/>
            <w:vAlign w:val="center"/>
            <w:hideMark/>
          </w:tcPr>
          <w:p w14:paraId="2EF608DA" w14:textId="77777777" w:rsidR="00E3087D" w:rsidRPr="00B7014C" w:rsidRDefault="00E3087D" w:rsidP="00890082">
            <w:pPr>
              <w:jc w:val="center"/>
              <w:rPr>
                <w:b/>
                <w:bCs/>
                <w:color w:val="000000"/>
                <w:sz w:val="22"/>
                <w:szCs w:val="22"/>
                <w:lang w:eastAsia="en-GB"/>
              </w:rPr>
            </w:pPr>
            <w:r w:rsidRPr="00B7014C">
              <w:rPr>
                <w:b/>
                <w:bCs/>
                <w:color w:val="000000"/>
                <w:sz w:val="22"/>
                <w:szCs w:val="22"/>
                <w:lang w:eastAsia="en-GB"/>
              </w:rPr>
              <w:t>2,296</w:t>
            </w:r>
          </w:p>
        </w:tc>
        <w:tc>
          <w:tcPr>
            <w:tcW w:w="480" w:type="pct"/>
            <w:tcBorders>
              <w:top w:val="nil"/>
              <w:left w:val="nil"/>
              <w:bottom w:val="single" w:sz="8" w:space="0" w:color="auto"/>
              <w:right w:val="single" w:sz="8" w:space="0" w:color="auto"/>
            </w:tcBorders>
            <w:vAlign w:val="center"/>
          </w:tcPr>
          <w:p w14:paraId="2FBE4EC4" w14:textId="77777777" w:rsidR="00E3087D" w:rsidRPr="00B7014C" w:rsidRDefault="00E3087D" w:rsidP="00890082">
            <w:pPr>
              <w:jc w:val="center"/>
              <w:rPr>
                <w:b/>
                <w:bCs/>
                <w:color w:val="000000"/>
                <w:sz w:val="22"/>
                <w:szCs w:val="22"/>
                <w:lang w:eastAsia="en-GB"/>
              </w:rPr>
            </w:pPr>
            <w:r w:rsidRPr="00B7014C">
              <w:rPr>
                <w:b/>
                <w:bCs/>
                <w:color w:val="000000"/>
                <w:sz w:val="22"/>
                <w:szCs w:val="22"/>
                <w:lang w:eastAsia="en-GB"/>
              </w:rPr>
              <w:t>2,256</w:t>
            </w:r>
          </w:p>
        </w:tc>
        <w:tc>
          <w:tcPr>
            <w:tcW w:w="480" w:type="pct"/>
            <w:tcBorders>
              <w:top w:val="nil"/>
              <w:left w:val="nil"/>
              <w:bottom w:val="single" w:sz="8" w:space="0" w:color="auto"/>
              <w:right w:val="single" w:sz="8" w:space="0" w:color="auto"/>
            </w:tcBorders>
            <w:vAlign w:val="center"/>
          </w:tcPr>
          <w:p w14:paraId="32E07831" w14:textId="77777777" w:rsidR="00E3087D" w:rsidRPr="00B7014C" w:rsidRDefault="00E3087D" w:rsidP="00890082">
            <w:pPr>
              <w:jc w:val="center"/>
              <w:rPr>
                <w:b/>
                <w:bCs/>
                <w:color w:val="000000"/>
                <w:sz w:val="22"/>
                <w:szCs w:val="22"/>
                <w:lang w:eastAsia="en-GB"/>
              </w:rPr>
            </w:pPr>
            <w:r>
              <w:rPr>
                <w:b/>
                <w:bCs/>
                <w:color w:val="000000"/>
                <w:sz w:val="22"/>
                <w:szCs w:val="22"/>
                <w:lang w:eastAsia="en-GB"/>
              </w:rPr>
              <w:t>2,254</w:t>
            </w:r>
          </w:p>
        </w:tc>
        <w:tc>
          <w:tcPr>
            <w:tcW w:w="480" w:type="pct"/>
            <w:tcBorders>
              <w:top w:val="nil"/>
              <w:left w:val="nil"/>
              <w:bottom w:val="single" w:sz="8" w:space="0" w:color="auto"/>
              <w:right w:val="single" w:sz="8" w:space="0" w:color="auto"/>
            </w:tcBorders>
            <w:vAlign w:val="center"/>
          </w:tcPr>
          <w:p w14:paraId="686FB21C" w14:textId="77777777" w:rsidR="00E3087D" w:rsidRDefault="00E3087D" w:rsidP="00890082">
            <w:pPr>
              <w:jc w:val="center"/>
              <w:rPr>
                <w:b/>
                <w:bCs/>
                <w:color w:val="000000"/>
                <w:sz w:val="22"/>
                <w:szCs w:val="22"/>
                <w:lang w:eastAsia="en-GB"/>
              </w:rPr>
            </w:pPr>
            <w:r>
              <w:rPr>
                <w:b/>
                <w:bCs/>
                <w:color w:val="000000"/>
                <w:sz w:val="22"/>
                <w:szCs w:val="22"/>
                <w:lang w:eastAsia="en-GB"/>
              </w:rPr>
              <w:t>2,269</w:t>
            </w:r>
          </w:p>
        </w:tc>
      </w:tr>
    </w:tbl>
    <w:p w14:paraId="407610F9" w14:textId="77777777" w:rsidR="00E3087D" w:rsidRPr="00B7014C" w:rsidRDefault="00E3087D" w:rsidP="00E3087D">
      <w:r w:rsidRPr="00B7014C">
        <w:rPr>
          <w:sz w:val="20"/>
        </w:rPr>
        <w:t>Source: DfE SFR Cross Border Movement</w:t>
      </w:r>
      <w:r>
        <w:rPr>
          <w:sz w:val="20"/>
        </w:rPr>
        <w:t xml:space="preserve">; </w:t>
      </w:r>
      <w:r w:rsidRPr="00B7014C">
        <w:rPr>
          <w:sz w:val="20"/>
        </w:rPr>
        <w:t>*</w:t>
      </w:r>
      <w:r w:rsidRPr="00B7014C">
        <w:t xml:space="preserve"> </w:t>
      </w:r>
      <w:r w:rsidRPr="00B7014C">
        <w:rPr>
          <w:sz w:val="20"/>
        </w:rPr>
        <w:t xml:space="preserve">Includes pupils with invalid postcodes </w:t>
      </w:r>
    </w:p>
    <w:p w14:paraId="48DA88EF" w14:textId="77777777" w:rsidR="00A16979" w:rsidRPr="002822D7" w:rsidRDefault="00A16979" w:rsidP="00A16979"/>
    <w:p w14:paraId="27084F87" w14:textId="77777777" w:rsidR="00B816BF" w:rsidRPr="00B7014C" w:rsidRDefault="00B816BF" w:rsidP="00B816BF">
      <w:pPr>
        <w:rPr>
          <w:b/>
        </w:rPr>
      </w:pPr>
      <w:r w:rsidRPr="000D1EEE">
        <w:rPr>
          <w:b/>
        </w:rPr>
        <w:t>Harrow secondary schools’ pupils’ borough of residence</w:t>
      </w:r>
    </w:p>
    <w:p w14:paraId="04DFBDEC" w14:textId="77777777" w:rsidR="00B816BF" w:rsidRPr="00B7014C" w:rsidRDefault="00B816BF" w:rsidP="00B816BF">
      <w:r w:rsidRPr="00B7014C">
        <w:t xml:space="preserve">As </w:t>
      </w:r>
      <w:proofErr w:type="gramStart"/>
      <w:r w:rsidRPr="00B7014C">
        <w:t>at</w:t>
      </w:r>
      <w:proofErr w:type="gramEnd"/>
      <w:r w:rsidRPr="00B7014C">
        <w:t xml:space="preserve"> January 202</w:t>
      </w:r>
      <w:r>
        <w:t>2</w:t>
      </w:r>
      <w:r w:rsidRPr="00B7014C">
        <w:t>, there were 1</w:t>
      </w:r>
      <w:r>
        <w:t>3</w:t>
      </w:r>
      <w:r w:rsidRPr="00B7014C">
        <w:t>,</w:t>
      </w:r>
      <w:r>
        <w:t>393</w:t>
      </w:r>
      <w:r w:rsidRPr="00B7014C">
        <w:t xml:space="preserve"> pupils on roll (1</w:t>
      </w:r>
      <w:r>
        <w:t>3</w:t>
      </w:r>
      <w:r w:rsidRPr="00B7014C">
        <w:t>,</w:t>
      </w:r>
      <w:r>
        <w:t>061</w:t>
      </w:r>
      <w:r w:rsidRPr="00B7014C">
        <w:t xml:space="preserve"> pupils in January 202</w:t>
      </w:r>
      <w:r>
        <w:t>2</w:t>
      </w:r>
      <w:r w:rsidRPr="00B7014C">
        <w:t xml:space="preserve">) in Years 7 to 11 in Harrow’s 12 secondary and 1 all through schools.  </w:t>
      </w:r>
    </w:p>
    <w:p w14:paraId="1685ABFA" w14:textId="77777777" w:rsidR="00B816BF" w:rsidRPr="00B7014C" w:rsidRDefault="00B816BF" w:rsidP="00B816BF"/>
    <w:p w14:paraId="212353DD" w14:textId="77777777" w:rsidR="00B816BF" w:rsidRPr="00B7014C" w:rsidRDefault="00B816BF" w:rsidP="00B816BF">
      <w:r w:rsidRPr="00B7014C">
        <w:t>The number of out of borough secondary aged pupils attending Harrow schools continued to increase from 2,048 in January 2017 to 2,511 in January 2021, a 23% increase</w:t>
      </w:r>
      <w:r>
        <w:t xml:space="preserve"> but dropped to 2,478 in January 2023</w:t>
      </w:r>
      <w:r w:rsidRPr="00B7014C">
        <w:t>.</w:t>
      </w:r>
    </w:p>
    <w:p w14:paraId="01BD4D18" w14:textId="77777777" w:rsidR="00C40020" w:rsidRDefault="00C40020" w:rsidP="00B816BF"/>
    <w:p w14:paraId="6355080B" w14:textId="497A05EB" w:rsidR="00B816BF" w:rsidRPr="00B7014C" w:rsidRDefault="00C40020" w:rsidP="00B816BF">
      <w:r>
        <w:t>Table 9: Number of Out of Borough pupils attending Harrow’s Secondary Schools</w:t>
      </w:r>
    </w:p>
    <w:tbl>
      <w:tblPr>
        <w:tblStyle w:val="TableGrid"/>
        <w:tblW w:w="0" w:type="auto"/>
        <w:tblLook w:val="04A0" w:firstRow="1" w:lastRow="0" w:firstColumn="1" w:lastColumn="0" w:noHBand="0" w:noVBand="1"/>
      </w:tblPr>
      <w:tblGrid>
        <w:gridCol w:w="1524"/>
        <w:gridCol w:w="951"/>
        <w:gridCol w:w="951"/>
        <w:gridCol w:w="951"/>
        <w:gridCol w:w="951"/>
        <w:gridCol w:w="951"/>
        <w:gridCol w:w="951"/>
        <w:gridCol w:w="884"/>
      </w:tblGrid>
      <w:tr w:rsidR="00B816BF" w:rsidRPr="00B7014C" w14:paraId="707724BE" w14:textId="77777777" w:rsidTr="00890082">
        <w:tc>
          <w:tcPr>
            <w:tcW w:w="1524" w:type="dxa"/>
          </w:tcPr>
          <w:p w14:paraId="50228821" w14:textId="77777777" w:rsidR="00B816BF" w:rsidRPr="00B7014C" w:rsidRDefault="00B816BF" w:rsidP="00890082">
            <w:pPr>
              <w:rPr>
                <w:b/>
                <w:bCs/>
              </w:rPr>
            </w:pPr>
            <w:r w:rsidRPr="00B7014C">
              <w:rPr>
                <w:b/>
                <w:bCs/>
              </w:rPr>
              <w:t>January</w:t>
            </w:r>
          </w:p>
        </w:tc>
        <w:tc>
          <w:tcPr>
            <w:tcW w:w="951" w:type="dxa"/>
          </w:tcPr>
          <w:p w14:paraId="57CD36AC" w14:textId="77777777" w:rsidR="00B816BF" w:rsidRPr="00B7014C" w:rsidRDefault="00B816BF" w:rsidP="00890082">
            <w:pPr>
              <w:jc w:val="center"/>
              <w:rPr>
                <w:b/>
                <w:bCs/>
              </w:rPr>
            </w:pPr>
            <w:r w:rsidRPr="00B7014C">
              <w:rPr>
                <w:b/>
                <w:bCs/>
              </w:rPr>
              <w:t>2017</w:t>
            </w:r>
          </w:p>
        </w:tc>
        <w:tc>
          <w:tcPr>
            <w:tcW w:w="951" w:type="dxa"/>
          </w:tcPr>
          <w:p w14:paraId="76B758C5" w14:textId="77777777" w:rsidR="00B816BF" w:rsidRPr="00B7014C" w:rsidRDefault="00B816BF" w:rsidP="00890082">
            <w:pPr>
              <w:jc w:val="center"/>
              <w:rPr>
                <w:b/>
                <w:bCs/>
              </w:rPr>
            </w:pPr>
            <w:r w:rsidRPr="00B7014C">
              <w:rPr>
                <w:b/>
                <w:bCs/>
              </w:rPr>
              <w:t>2018</w:t>
            </w:r>
          </w:p>
        </w:tc>
        <w:tc>
          <w:tcPr>
            <w:tcW w:w="951" w:type="dxa"/>
          </w:tcPr>
          <w:p w14:paraId="72D57A2B" w14:textId="77777777" w:rsidR="00B816BF" w:rsidRPr="00B7014C" w:rsidRDefault="00B816BF" w:rsidP="00890082">
            <w:pPr>
              <w:jc w:val="center"/>
              <w:rPr>
                <w:b/>
                <w:bCs/>
              </w:rPr>
            </w:pPr>
            <w:r w:rsidRPr="00B7014C">
              <w:rPr>
                <w:b/>
                <w:bCs/>
              </w:rPr>
              <w:t>2019</w:t>
            </w:r>
          </w:p>
        </w:tc>
        <w:tc>
          <w:tcPr>
            <w:tcW w:w="951" w:type="dxa"/>
          </w:tcPr>
          <w:p w14:paraId="02BCC686" w14:textId="77777777" w:rsidR="00B816BF" w:rsidRPr="00B7014C" w:rsidRDefault="00B816BF" w:rsidP="00890082">
            <w:pPr>
              <w:jc w:val="center"/>
              <w:rPr>
                <w:b/>
                <w:bCs/>
              </w:rPr>
            </w:pPr>
            <w:r w:rsidRPr="00B7014C">
              <w:rPr>
                <w:b/>
                <w:bCs/>
              </w:rPr>
              <w:t>2020</w:t>
            </w:r>
          </w:p>
        </w:tc>
        <w:tc>
          <w:tcPr>
            <w:tcW w:w="951" w:type="dxa"/>
          </w:tcPr>
          <w:p w14:paraId="1F18C2BF" w14:textId="77777777" w:rsidR="00B816BF" w:rsidRPr="00B7014C" w:rsidRDefault="00B816BF" w:rsidP="00890082">
            <w:pPr>
              <w:jc w:val="center"/>
              <w:rPr>
                <w:b/>
                <w:bCs/>
              </w:rPr>
            </w:pPr>
            <w:r w:rsidRPr="00B7014C">
              <w:rPr>
                <w:b/>
                <w:bCs/>
              </w:rPr>
              <w:t>2021</w:t>
            </w:r>
          </w:p>
        </w:tc>
        <w:tc>
          <w:tcPr>
            <w:tcW w:w="951" w:type="dxa"/>
          </w:tcPr>
          <w:p w14:paraId="13F3D87B" w14:textId="77777777" w:rsidR="00B816BF" w:rsidRPr="00B7014C" w:rsidRDefault="00B816BF" w:rsidP="00890082">
            <w:pPr>
              <w:jc w:val="center"/>
              <w:rPr>
                <w:b/>
                <w:bCs/>
              </w:rPr>
            </w:pPr>
            <w:r>
              <w:rPr>
                <w:b/>
                <w:bCs/>
              </w:rPr>
              <w:t>2022</w:t>
            </w:r>
          </w:p>
        </w:tc>
        <w:tc>
          <w:tcPr>
            <w:tcW w:w="884" w:type="dxa"/>
          </w:tcPr>
          <w:p w14:paraId="0CC4AEEB" w14:textId="77777777" w:rsidR="00B816BF" w:rsidRDefault="00B816BF" w:rsidP="00890082">
            <w:pPr>
              <w:jc w:val="center"/>
              <w:rPr>
                <w:b/>
                <w:bCs/>
              </w:rPr>
            </w:pPr>
            <w:r>
              <w:rPr>
                <w:b/>
                <w:bCs/>
              </w:rPr>
              <w:t>2023</w:t>
            </w:r>
          </w:p>
        </w:tc>
      </w:tr>
      <w:tr w:rsidR="00B816BF" w:rsidRPr="00B7014C" w14:paraId="0FA7D8F2" w14:textId="77777777" w:rsidTr="00890082">
        <w:tc>
          <w:tcPr>
            <w:tcW w:w="1524" w:type="dxa"/>
          </w:tcPr>
          <w:p w14:paraId="25C96FC8" w14:textId="77777777" w:rsidR="00B816BF" w:rsidRPr="00B7014C" w:rsidRDefault="00B816BF" w:rsidP="00890082">
            <w:proofErr w:type="spellStart"/>
            <w:r w:rsidRPr="00B7014C">
              <w:t>OoB</w:t>
            </w:r>
            <w:proofErr w:type="spellEnd"/>
            <w:r w:rsidRPr="00B7014C">
              <w:t xml:space="preserve"> pupils</w:t>
            </w:r>
          </w:p>
        </w:tc>
        <w:tc>
          <w:tcPr>
            <w:tcW w:w="951" w:type="dxa"/>
          </w:tcPr>
          <w:p w14:paraId="3BD20EB8" w14:textId="77777777" w:rsidR="00B816BF" w:rsidRPr="00B7014C" w:rsidRDefault="00B816BF" w:rsidP="00890082">
            <w:pPr>
              <w:jc w:val="center"/>
            </w:pPr>
            <w:r w:rsidRPr="00B7014C">
              <w:t>2,048</w:t>
            </w:r>
          </w:p>
        </w:tc>
        <w:tc>
          <w:tcPr>
            <w:tcW w:w="951" w:type="dxa"/>
          </w:tcPr>
          <w:p w14:paraId="048B7221" w14:textId="77777777" w:rsidR="00B816BF" w:rsidRPr="00B7014C" w:rsidRDefault="00B816BF" w:rsidP="00890082">
            <w:pPr>
              <w:jc w:val="center"/>
            </w:pPr>
            <w:r w:rsidRPr="00B7014C">
              <w:t>2,134</w:t>
            </w:r>
          </w:p>
        </w:tc>
        <w:tc>
          <w:tcPr>
            <w:tcW w:w="951" w:type="dxa"/>
          </w:tcPr>
          <w:p w14:paraId="74A601D3" w14:textId="77777777" w:rsidR="00B816BF" w:rsidRPr="00B7014C" w:rsidRDefault="00B816BF" w:rsidP="00890082">
            <w:pPr>
              <w:jc w:val="center"/>
            </w:pPr>
            <w:r w:rsidRPr="00B7014C">
              <w:t>2,335</w:t>
            </w:r>
          </w:p>
        </w:tc>
        <w:tc>
          <w:tcPr>
            <w:tcW w:w="951" w:type="dxa"/>
          </w:tcPr>
          <w:p w14:paraId="1FA0F171" w14:textId="77777777" w:rsidR="00B816BF" w:rsidRPr="00B7014C" w:rsidRDefault="00B816BF" w:rsidP="00890082">
            <w:pPr>
              <w:jc w:val="center"/>
            </w:pPr>
            <w:r w:rsidRPr="00B7014C">
              <w:t>2,468</w:t>
            </w:r>
          </w:p>
        </w:tc>
        <w:tc>
          <w:tcPr>
            <w:tcW w:w="951" w:type="dxa"/>
          </w:tcPr>
          <w:p w14:paraId="7C5B4434" w14:textId="77777777" w:rsidR="00B816BF" w:rsidRPr="00B7014C" w:rsidRDefault="00B816BF" w:rsidP="00890082">
            <w:pPr>
              <w:jc w:val="center"/>
            </w:pPr>
            <w:r w:rsidRPr="00B7014C">
              <w:t>2,511</w:t>
            </w:r>
          </w:p>
        </w:tc>
        <w:tc>
          <w:tcPr>
            <w:tcW w:w="951" w:type="dxa"/>
          </w:tcPr>
          <w:p w14:paraId="54547C05" w14:textId="77777777" w:rsidR="00B816BF" w:rsidRPr="00B7014C" w:rsidRDefault="00B816BF" w:rsidP="00890082">
            <w:pPr>
              <w:jc w:val="center"/>
            </w:pPr>
            <w:r>
              <w:t>2,485</w:t>
            </w:r>
          </w:p>
        </w:tc>
        <w:tc>
          <w:tcPr>
            <w:tcW w:w="884" w:type="dxa"/>
          </w:tcPr>
          <w:p w14:paraId="4826B2D8" w14:textId="77777777" w:rsidR="00B816BF" w:rsidRDefault="00B816BF" w:rsidP="00890082">
            <w:pPr>
              <w:jc w:val="center"/>
            </w:pPr>
            <w:r>
              <w:t>2,478</w:t>
            </w:r>
          </w:p>
        </w:tc>
      </w:tr>
    </w:tbl>
    <w:p w14:paraId="353A728A" w14:textId="77777777" w:rsidR="00B816BF" w:rsidRPr="00B7014C" w:rsidRDefault="00B816BF" w:rsidP="00B816BF">
      <w:r w:rsidRPr="00B7014C">
        <w:t xml:space="preserve">  </w:t>
      </w:r>
    </w:p>
    <w:p w14:paraId="09E3D525" w14:textId="77777777" w:rsidR="00847FF6" w:rsidRDefault="00847FF6">
      <w:r>
        <w:br w:type="page"/>
      </w:r>
    </w:p>
    <w:p w14:paraId="1E48DB92" w14:textId="5B7A9CF2" w:rsidR="00B816BF" w:rsidRDefault="00B816BF" w:rsidP="00B816BF">
      <w:r w:rsidRPr="00B7014C">
        <w:lastRenderedPageBreak/>
        <w:t xml:space="preserve">Table </w:t>
      </w:r>
      <w:r w:rsidR="00117CFE">
        <w:t>10</w:t>
      </w:r>
      <w:r w:rsidRPr="00B7014C">
        <w:t xml:space="preserve"> below shows that a majority</w:t>
      </w:r>
      <w:r>
        <w:t xml:space="preserve"> (81.5%)</w:t>
      </w:r>
      <w:r w:rsidRPr="00B7014C">
        <w:t xml:space="preserve"> of Harrow’s high school pupils reside in the borough of Harrow.</w:t>
      </w:r>
      <w:r>
        <w:t xml:space="preserve"> </w:t>
      </w:r>
    </w:p>
    <w:p w14:paraId="6C1C35CC" w14:textId="77777777" w:rsidR="00B816BF" w:rsidRDefault="00B816BF" w:rsidP="00B816BF"/>
    <w:p w14:paraId="225EA2F6" w14:textId="77777777" w:rsidR="00C40020" w:rsidRDefault="00C40020" w:rsidP="00B816BF"/>
    <w:p w14:paraId="1148B113" w14:textId="7BF40908" w:rsidR="00B816BF" w:rsidRDefault="00B816BF" w:rsidP="00B816BF">
      <w:r>
        <w:t xml:space="preserve">Table </w:t>
      </w:r>
      <w:r w:rsidR="00C40020">
        <w:t>10</w:t>
      </w:r>
      <w:r>
        <w:t xml:space="preserve">: </w:t>
      </w:r>
      <w:r w:rsidRPr="00B7014C">
        <w:t xml:space="preserve">Harrow schools’ </w:t>
      </w:r>
      <w:r>
        <w:t>Year 7</w:t>
      </w:r>
      <w:r w:rsidRPr="00B7014C">
        <w:t xml:space="preserve"> to Year </w:t>
      </w:r>
      <w:r>
        <w:t>11</w:t>
      </w:r>
      <w:r w:rsidRPr="00B7014C">
        <w:t xml:space="preserve"> pupils Harrow ward of residence</w:t>
      </w:r>
      <w:r>
        <w:t xml:space="preserve"> </w:t>
      </w:r>
      <w:r w:rsidRPr="00B7014C">
        <w:t>January 20</w:t>
      </w:r>
      <w:r>
        <w:t>23</w:t>
      </w:r>
    </w:p>
    <w:tbl>
      <w:tblPr>
        <w:tblW w:w="6970" w:type="dxa"/>
        <w:tblLook w:val="04A0" w:firstRow="1" w:lastRow="0" w:firstColumn="1" w:lastColumn="0" w:noHBand="0" w:noVBand="1"/>
      </w:tblPr>
      <w:tblGrid>
        <w:gridCol w:w="2319"/>
        <w:gridCol w:w="2148"/>
        <w:gridCol w:w="2503"/>
      </w:tblGrid>
      <w:tr w:rsidR="00B816BF" w:rsidRPr="008C504A" w14:paraId="4D462BC9" w14:textId="77777777" w:rsidTr="00890082">
        <w:trPr>
          <w:trHeight w:val="315"/>
        </w:trPr>
        <w:tc>
          <w:tcPr>
            <w:tcW w:w="2319" w:type="dxa"/>
            <w:tcBorders>
              <w:top w:val="single" w:sz="4" w:space="0" w:color="auto"/>
              <w:left w:val="single" w:sz="4" w:space="0" w:color="auto"/>
              <w:bottom w:val="double" w:sz="6" w:space="0" w:color="auto"/>
              <w:right w:val="single" w:sz="4" w:space="0" w:color="auto"/>
            </w:tcBorders>
            <w:shd w:val="clear" w:color="auto" w:fill="auto"/>
            <w:noWrap/>
            <w:vAlign w:val="center"/>
            <w:hideMark/>
          </w:tcPr>
          <w:p w14:paraId="2CBDD0FD" w14:textId="77777777" w:rsidR="00B816BF" w:rsidRPr="008C504A" w:rsidRDefault="00B816BF" w:rsidP="00890082">
            <w:pPr>
              <w:rPr>
                <w:b/>
                <w:bCs/>
                <w:color w:val="000000"/>
                <w:sz w:val="22"/>
                <w:szCs w:val="22"/>
                <w:lang w:eastAsia="en-GB"/>
              </w:rPr>
            </w:pPr>
            <w:r w:rsidRPr="008C504A">
              <w:rPr>
                <w:b/>
                <w:bCs/>
                <w:color w:val="000000"/>
                <w:sz w:val="22"/>
                <w:szCs w:val="22"/>
                <w:lang w:eastAsia="en-GB"/>
              </w:rPr>
              <w:t>Ward</w:t>
            </w:r>
          </w:p>
        </w:tc>
        <w:tc>
          <w:tcPr>
            <w:tcW w:w="2148" w:type="dxa"/>
            <w:tcBorders>
              <w:top w:val="single" w:sz="4" w:space="0" w:color="auto"/>
              <w:left w:val="nil"/>
              <w:bottom w:val="double" w:sz="6" w:space="0" w:color="auto"/>
              <w:right w:val="single" w:sz="4" w:space="0" w:color="auto"/>
            </w:tcBorders>
            <w:shd w:val="clear" w:color="auto" w:fill="auto"/>
            <w:noWrap/>
            <w:vAlign w:val="center"/>
            <w:hideMark/>
          </w:tcPr>
          <w:p w14:paraId="09073E66" w14:textId="77777777" w:rsidR="00B816BF" w:rsidRPr="008C504A" w:rsidRDefault="00B816BF" w:rsidP="00890082">
            <w:pPr>
              <w:jc w:val="center"/>
              <w:rPr>
                <w:b/>
                <w:bCs/>
                <w:color w:val="000000"/>
                <w:sz w:val="22"/>
                <w:szCs w:val="22"/>
                <w:lang w:eastAsia="en-GB"/>
              </w:rPr>
            </w:pPr>
            <w:r w:rsidRPr="008C504A">
              <w:rPr>
                <w:b/>
                <w:bCs/>
                <w:color w:val="000000"/>
                <w:sz w:val="22"/>
                <w:szCs w:val="22"/>
                <w:lang w:eastAsia="en-GB"/>
              </w:rPr>
              <w:t>Number of pupils</w:t>
            </w:r>
          </w:p>
        </w:tc>
        <w:tc>
          <w:tcPr>
            <w:tcW w:w="2503" w:type="dxa"/>
            <w:tcBorders>
              <w:top w:val="single" w:sz="4" w:space="0" w:color="auto"/>
              <w:left w:val="nil"/>
              <w:bottom w:val="double" w:sz="6" w:space="0" w:color="auto"/>
              <w:right w:val="single" w:sz="4" w:space="0" w:color="auto"/>
            </w:tcBorders>
            <w:shd w:val="clear" w:color="auto" w:fill="auto"/>
            <w:noWrap/>
            <w:vAlign w:val="center"/>
            <w:hideMark/>
          </w:tcPr>
          <w:p w14:paraId="75F18347" w14:textId="77777777" w:rsidR="00B816BF" w:rsidRPr="008C504A" w:rsidRDefault="00B816BF" w:rsidP="00890082">
            <w:pPr>
              <w:jc w:val="center"/>
              <w:rPr>
                <w:b/>
                <w:bCs/>
                <w:color w:val="000000"/>
                <w:sz w:val="22"/>
                <w:szCs w:val="22"/>
                <w:lang w:eastAsia="en-GB"/>
              </w:rPr>
            </w:pPr>
            <w:r w:rsidRPr="008C504A">
              <w:rPr>
                <w:b/>
                <w:bCs/>
                <w:color w:val="000000"/>
                <w:sz w:val="22"/>
                <w:szCs w:val="22"/>
                <w:lang w:eastAsia="en-GB"/>
              </w:rPr>
              <w:t>Percentage of pupils</w:t>
            </w:r>
          </w:p>
        </w:tc>
      </w:tr>
      <w:tr w:rsidR="00B816BF" w:rsidRPr="008C504A" w14:paraId="7E3C49F9" w14:textId="77777777" w:rsidTr="00890082">
        <w:trPr>
          <w:trHeight w:val="315"/>
        </w:trPr>
        <w:tc>
          <w:tcPr>
            <w:tcW w:w="2319" w:type="dxa"/>
            <w:tcBorders>
              <w:top w:val="nil"/>
              <w:left w:val="single" w:sz="4" w:space="0" w:color="auto"/>
              <w:bottom w:val="single" w:sz="4" w:space="0" w:color="auto"/>
              <w:right w:val="single" w:sz="4" w:space="0" w:color="auto"/>
            </w:tcBorders>
            <w:shd w:val="clear" w:color="auto" w:fill="auto"/>
            <w:noWrap/>
            <w:vAlign w:val="center"/>
            <w:hideMark/>
          </w:tcPr>
          <w:p w14:paraId="180A9491" w14:textId="77777777" w:rsidR="00B816BF" w:rsidRPr="008C504A" w:rsidRDefault="00B816BF" w:rsidP="00890082">
            <w:pPr>
              <w:rPr>
                <w:color w:val="000000"/>
                <w:sz w:val="22"/>
                <w:szCs w:val="22"/>
                <w:lang w:eastAsia="en-GB"/>
              </w:rPr>
            </w:pPr>
            <w:r>
              <w:rPr>
                <w:color w:val="000000"/>
                <w:sz w:val="22"/>
                <w:szCs w:val="22"/>
                <w:lang w:eastAsia="en-GB"/>
              </w:rPr>
              <w:t>Headstone</w:t>
            </w:r>
          </w:p>
        </w:tc>
        <w:tc>
          <w:tcPr>
            <w:tcW w:w="2148" w:type="dxa"/>
            <w:tcBorders>
              <w:top w:val="nil"/>
              <w:left w:val="nil"/>
              <w:bottom w:val="single" w:sz="4" w:space="0" w:color="auto"/>
              <w:right w:val="single" w:sz="4" w:space="0" w:color="auto"/>
            </w:tcBorders>
            <w:shd w:val="clear" w:color="auto" w:fill="auto"/>
            <w:noWrap/>
            <w:vAlign w:val="center"/>
            <w:hideMark/>
          </w:tcPr>
          <w:p w14:paraId="68F22A48" w14:textId="77777777" w:rsidR="00B816BF" w:rsidRPr="008C504A" w:rsidRDefault="00B816BF" w:rsidP="00890082">
            <w:pPr>
              <w:jc w:val="center"/>
              <w:rPr>
                <w:color w:val="000000"/>
                <w:sz w:val="22"/>
                <w:szCs w:val="22"/>
                <w:lang w:eastAsia="en-GB"/>
              </w:rPr>
            </w:pPr>
            <w:r w:rsidRPr="008C504A">
              <w:rPr>
                <w:color w:val="000000"/>
                <w:sz w:val="22"/>
                <w:szCs w:val="22"/>
                <w:lang w:eastAsia="en-GB"/>
              </w:rPr>
              <w:t>7</w:t>
            </w:r>
            <w:r>
              <w:rPr>
                <w:color w:val="000000"/>
                <w:sz w:val="22"/>
                <w:szCs w:val="22"/>
                <w:lang w:eastAsia="en-GB"/>
              </w:rPr>
              <w:t>60</w:t>
            </w:r>
          </w:p>
        </w:tc>
        <w:tc>
          <w:tcPr>
            <w:tcW w:w="2503" w:type="dxa"/>
            <w:tcBorders>
              <w:top w:val="nil"/>
              <w:left w:val="nil"/>
              <w:bottom w:val="single" w:sz="4" w:space="0" w:color="auto"/>
              <w:right w:val="single" w:sz="4" w:space="0" w:color="auto"/>
            </w:tcBorders>
            <w:shd w:val="clear" w:color="auto" w:fill="auto"/>
            <w:noWrap/>
            <w:vAlign w:val="center"/>
            <w:hideMark/>
          </w:tcPr>
          <w:p w14:paraId="2D4D016C" w14:textId="77777777" w:rsidR="00B816BF" w:rsidRPr="008C504A" w:rsidRDefault="00B816BF" w:rsidP="00890082">
            <w:pPr>
              <w:jc w:val="center"/>
              <w:rPr>
                <w:color w:val="000000"/>
                <w:sz w:val="22"/>
                <w:szCs w:val="22"/>
                <w:lang w:eastAsia="en-GB"/>
              </w:rPr>
            </w:pPr>
            <w:r w:rsidRPr="008C504A">
              <w:rPr>
                <w:color w:val="000000"/>
                <w:sz w:val="22"/>
                <w:szCs w:val="22"/>
                <w:lang w:eastAsia="en-GB"/>
              </w:rPr>
              <w:t>5.</w:t>
            </w:r>
            <w:r>
              <w:rPr>
                <w:color w:val="000000"/>
                <w:sz w:val="22"/>
                <w:szCs w:val="22"/>
                <w:lang w:eastAsia="en-GB"/>
              </w:rPr>
              <w:t>7</w:t>
            </w:r>
            <w:r w:rsidRPr="008C504A">
              <w:rPr>
                <w:color w:val="000000"/>
                <w:sz w:val="22"/>
                <w:szCs w:val="22"/>
                <w:lang w:eastAsia="en-GB"/>
              </w:rPr>
              <w:t>%</w:t>
            </w:r>
          </w:p>
        </w:tc>
      </w:tr>
      <w:tr w:rsidR="00B816BF" w:rsidRPr="008C504A" w14:paraId="494037BA" w14:textId="77777777" w:rsidTr="00890082">
        <w:trPr>
          <w:trHeight w:val="300"/>
        </w:trPr>
        <w:tc>
          <w:tcPr>
            <w:tcW w:w="2319" w:type="dxa"/>
            <w:tcBorders>
              <w:top w:val="nil"/>
              <w:left w:val="single" w:sz="4" w:space="0" w:color="auto"/>
              <w:bottom w:val="single" w:sz="4" w:space="0" w:color="auto"/>
              <w:right w:val="single" w:sz="4" w:space="0" w:color="auto"/>
            </w:tcBorders>
            <w:shd w:val="clear" w:color="auto" w:fill="auto"/>
            <w:noWrap/>
            <w:vAlign w:val="center"/>
            <w:hideMark/>
          </w:tcPr>
          <w:p w14:paraId="69EEC912" w14:textId="77777777" w:rsidR="00B816BF" w:rsidRPr="008C504A" w:rsidRDefault="00B816BF" w:rsidP="00890082">
            <w:pPr>
              <w:rPr>
                <w:color w:val="000000"/>
                <w:sz w:val="22"/>
                <w:szCs w:val="22"/>
                <w:lang w:eastAsia="en-GB"/>
              </w:rPr>
            </w:pPr>
            <w:r w:rsidRPr="008C504A">
              <w:rPr>
                <w:color w:val="000000"/>
                <w:sz w:val="22"/>
                <w:szCs w:val="22"/>
                <w:lang w:eastAsia="en-GB"/>
              </w:rPr>
              <w:t>H</w:t>
            </w:r>
            <w:r>
              <w:rPr>
                <w:color w:val="000000"/>
                <w:sz w:val="22"/>
                <w:szCs w:val="22"/>
                <w:lang w:eastAsia="en-GB"/>
              </w:rPr>
              <w:t>arrow Weald</w:t>
            </w:r>
          </w:p>
        </w:tc>
        <w:tc>
          <w:tcPr>
            <w:tcW w:w="2148" w:type="dxa"/>
            <w:tcBorders>
              <w:top w:val="nil"/>
              <w:left w:val="nil"/>
              <w:bottom w:val="single" w:sz="4" w:space="0" w:color="auto"/>
              <w:right w:val="single" w:sz="4" w:space="0" w:color="auto"/>
            </w:tcBorders>
            <w:shd w:val="clear" w:color="auto" w:fill="auto"/>
            <w:noWrap/>
            <w:vAlign w:val="center"/>
            <w:hideMark/>
          </w:tcPr>
          <w:p w14:paraId="08A49BDF" w14:textId="77777777" w:rsidR="00B816BF" w:rsidRPr="008C504A" w:rsidRDefault="00B816BF" w:rsidP="00890082">
            <w:pPr>
              <w:jc w:val="center"/>
              <w:rPr>
                <w:color w:val="000000"/>
                <w:sz w:val="22"/>
                <w:szCs w:val="22"/>
                <w:lang w:eastAsia="en-GB"/>
              </w:rPr>
            </w:pPr>
            <w:r>
              <w:rPr>
                <w:color w:val="000000"/>
                <w:sz w:val="22"/>
                <w:szCs w:val="22"/>
                <w:lang w:eastAsia="en-GB"/>
              </w:rPr>
              <w:t>757</w:t>
            </w:r>
          </w:p>
        </w:tc>
        <w:tc>
          <w:tcPr>
            <w:tcW w:w="2503" w:type="dxa"/>
            <w:tcBorders>
              <w:top w:val="nil"/>
              <w:left w:val="nil"/>
              <w:bottom w:val="single" w:sz="4" w:space="0" w:color="auto"/>
              <w:right w:val="single" w:sz="4" w:space="0" w:color="auto"/>
            </w:tcBorders>
            <w:shd w:val="clear" w:color="auto" w:fill="auto"/>
            <w:noWrap/>
            <w:vAlign w:val="center"/>
            <w:hideMark/>
          </w:tcPr>
          <w:p w14:paraId="2DFC75CE" w14:textId="77777777" w:rsidR="00B816BF" w:rsidRPr="008C504A" w:rsidRDefault="00B816BF" w:rsidP="00890082">
            <w:pPr>
              <w:jc w:val="center"/>
              <w:rPr>
                <w:color w:val="000000"/>
                <w:sz w:val="22"/>
                <w:szCs w:val="22"/>
                <w:lang w:eastAsia="en-GB"/>
              </w:rPr>
            </w:pPr>
            <w:r w:rsidRPr="008C504A">
              <w:rPr>
                <w:color w:val="000000"/>
                <w:sz w:val="22"/>
                <w:szCs w:val="22"/>
                <w:lang w:eastAsia="en-GB"/>
              </w:rPr>
              <w:t>5.</w:t>
            </w:r>
            <w:r>
              <w:rPr>
                <w:color w:val="000000"/>
                <w:sz w:val="22"/>
                <w:szCs w:val="22"/>
                <w:lang w:eastAsia="en-GB"/>
              </w:rPr>
              <w:t>7</w:t>
            </w:r>
            <w:r w:rsidRPr="008C504A">
              <w:rPr>
                <w:color w:val="000000"/>
                <w:sz w:val="22"/>
                <w:szCs w:val="22"/>
                <w:lang w:eastAsia="en-GB"/>
              </w:rPr>
              <w:t>%</w:t>
            </w:r>
          </w:p>
        </w:tc>
      </w:tr>
      <w:tr w:rsidR="00B816BF" w:rsidRPr="008C504A" w14:paraId="5CC2207E" w14:textId="77777777" w:rsidTr="00890082">
        <w:trPr>
          <w:trHeight w:val="300"/>
        </w:trPr>
        <w:tc>
          <w:tcPr>
            <w:tcW w:w="2319" w:type="dxa"/>
            <w:tcBorders>
              <w:top w:val="nil"/>
              <w:left w:val="single" w:sz="4" w:space="0" w:color="auto"/>
              <w:bottom w:val="single" w:sz="4" w:space="0" w:color="auto"/>
              <w:right w:val="single" w:sz="4" w:space="0" w:color="auto"/>
            </w:tcBorders>
            <w:shd w:val="clear" w:color="auto" w:fill="auto"/>
            <w:noWrap/>
            <w:vAlign w:val="center"/>
            <w:hideMark/>
          </w:tcPr>
          <w:p w14:paraId="3FA6B6E2" w14:textId="77777777" w:rsidR="00B816BF" w:rsidRPr="008C504A" w:rsidRDefault="00B816BF" w:rsidP="00890082">
            <w:pPr>
              <w:rPr>
                <w:color w:val="000000"/>
                <w:sz w:val="22"/>
                <w:szCs w:val="22"/>
                <w:lang w:eastAsia="en-GB"/>
              </w:rPr>
            </w:pPr>
            <w:r w:rsidRPr="008C504A">
              <w:rPr>
                <w:color w:val="000000"/>
                <w:sz w:val="22"/>
                <w:szCs w:val="22"/>
                <w:lang w:eastAsia="en-GB"/>
              </w:rPr>
              <w:t>Centenary</w:t>
            </w:r>
          </w:p>
        </w:tc>
        <w:tc>
          <w:tcPr>
            <w:tcW w:w="2148" w:type="dxa"/>
            <w:tcBorders>
              <w:top w:val="nil"/>
              <w:left w:val="nil"/>
              <w:bottom w:val="single" w:sz="4" w:space="0" w:color="auto"/>
              <w:right w:val="single" w:sz="4" w:space="0" w:color="auto"/>
            </w:tcBorders>
            <w:shd w:val="clear" w:color="auto" w:fill="auto"/>
            <w:noWrap/>
            <w:vAlign w:val="center"/>
            <w:hideMark/>
          </w:tcPr>
          <w:p w14:paraId="79C2CD8C" w14:textId="77777777" w:rsidR="00B816BF" w:rsidRPr="008C504A" w:rsidRDefault="00B816BF" w:rsidP="00890082">
            <w:pPr>
              <w:jc w:val="center"/>
              <w:rPr>
                <w:color w:val="000000"/>
                <w:sz w:val="22"/>
                <w:szCs w:val="22"/>
                <w:lang w:eastAsia="en-GB"/>
              </w:rPr>
            </w:pPr>
            <w:r w:rsidRPr="008C504A">
              <w:rPr>
                <w:color w:val="000000"/>
                <w:sz w:val="22"/>
                <w:szCs w:val="22"/>
                <w:lang w:eastAsia="en-GB"/>
              </w:rPr>
              <w:t>7</w:t>
            </w:r>
            <w:r>
              <w:rPr>
                <w:color w:val="000000"/>
                <w:sz w:val="22"/>
                <w:szCs w:val="22"/>
                <w:lang w:eastAsia="en-GB"/>
              </w:rPr>
              <w:t>5</w:t>
            </w:r>
            <w:r w:rsidRPr="008C504A">
              <w:rPr>
                <w:color w:val="000000"/>
                <w:sz w:val="22"/>
                <w:szCs w:val="22"/>
                <w:lang w:eastAsia="en-GB"/>
              </w:rPr>
              <w:t>0</w:t>
            </w:r>
          </w:p>
        </w:tc>
        <w:tc>
          <w:tcPr>
            <w:tcW w:w="2503" w:type="dxa"/>
            <w:tcBorders>
              <w:top w:val="nil"/>
              <w:left w:val="nil"/>
              <w:bottom w:val="single" w:sz="4" w:space="0" w:color="auto"/>
              <w:right w:val="single" w:sz="4" w:space="0" w:color="auto"/>
            </w:tcBorders>
            <w:shd w:val="clear" w:color="auto" w:fill="auto"/>
            <w:noWrap/>
            <w:vAlign w:val="center"/>
            <w:hideMark/>
          </w:tcPr>
          <w:p w14:paraId="41545EB5" w14:textId="77777777" w:rsidR="00B816BF" w:rsidRPr="008C504A" w:rsidRDefault="00B816BF" w:rsidP="00890082">
            <w:pPr>
              <w:jc w:val="center"/>
              <w:rPr>
                <w:color w:val="000000"/>
                <w:sz w:val="22"/>
                <w:szCs w:val="22"/>
                <w:lang w:eastAsia="en-GB"/>
              </w:rPr>
            </w:pPr>
            <w:r w:rsidRPr="008C504A">
              <w:rPr>
                <w:color w:val="000000"/>
                <w:sz w:val="22"/>
                <w:szCs w:val="22"/>
                <w:lang w:eastAsia="en-GB"/>
              </w:rPr>
              <w:t>5.</w:t>
            </w:r>
            <w:r>
              <w:rPr>
                <w:color w:val="000000"/>
                <w:sz w:val="22"/>
                <w:szCs w:val="22"/>
                <w:lang w:eastAsia="en-GB"/>
              </w:rPr>
              <w:t>6</w:t>
            </w:r>
            <w:r w:rsidRPr="008C504A">
              <w:rPr>
                <w:color w:val="000000"/>
                <w:sz w:val="22"/>
                <w:szCs w:val="22"/>
                <w:lang w:eastAsia="en-GB"/>
              </w:rPr>
              <w:t>%</w:t>
            </w:r>
          </w:p>
        </w:tc>
      </w:tr>
      <w:tr w:rsidR="00B816BF" w:rsidRPr="008C504A" w14:paraId="44105A38" w14:textId="77777777" w:rsidTr="00890082">
        <w:trPr>
          <w:trHeight w:val="300"/>
        </w:trPr>
        <w:tc>
          <w:tcPr>
            <w:tcW w:w="2319" w:type="dxa"/>
            <w:tcBorders>
              <w:top w:val="nil"/>
              <w:left w:val="single" w:sz="4" w:space="0" w:color="auto"/>
              <w:bottom w:val="single" w:sz="4" w:space="0" w:color="auto"/>
              <w:right w:val="single" w:sz="4" w:space="0" w:color="auto"/>
            </w:tcBorders>
            <w:shd w:val="clear" w:color="auto" w:fill="auto"/>
            <w:noWrap/>
            <w:vAlign w:val="center"/>
            <w:hideMark/>
          </w:tcPr>
          <w:p w14:paraId="1E655A57" w14:textId="77777777" w:rsidR="00B816BF" w:rsidRPr="008C504A" w:rsidRDefault="00B816BF" w:rsidP="00890082">
            <w:pPr>
              <w:rPr>
                <w:color w:val="000000"/>
                <w:sz w:val="22"/>
                <w:szCs w:val="22"/>
                <w:lang w:eastAsia="en-GB"/>
              </w:rPr>
            </w:pPr>
            <w:r w:rsidRPr="008C504A">
              <w:rPr>
                <w:color w:val="000000"/>
                <w:sz w:val="22"/>
                <w:szCs w:val="22"/>
                <w:lang w:eastAsia="en-GB"/>
              </w:rPr>
              <w:t>Edgware</w:t>
            </w:r>
          </w:p>
        </w:tc>
        <w:tc>
          <w:tcPr>
            <w:tcW w:w="2148" w:type="dxa"/>
            <w:tcBorders>
              <w:top w:val="nil"/>
              <w:left w:val="nil"/>
              <w:bottom w:val="single" w:sz="4" w:space="0" w:color="auto"/>
              <w:right w:val="single" w:sz="4" w:space="0" w:color="auto"/>
            </w:tcBorders>
            <w:shd w:val="clear" w:color="auto" w:fill="auto"/>
            <w:noWrap/>
            <w:vAlign w:val="center"/>
            <w:hideMark/>
          </w:tcPr>
          <w:p w14:paraId="314789E8" w14:textId="77777777" w:rsidR="00B816BF" w:rsidRPr="008C504A" w:rsidRDefault="00B816BF" w:rsidP="00890082">
            <w:pPr>
              <w:jc w:val="center"/>
              <w:rPr>
                <w:color w:val="000000"/>
                <w:sz w:val="22"/>
                <w:szCs w:val="22"/>
                <w:lang w:eastAsia="en-GB"/>
              </w:rPr>
            </w:pPr>
            <w:r w:rsidRPr="008C504A">
              <w:rPr>
                <w:color w:val="000000"/>
                <w:sz w:val="22"/>
                <w:szCs w:val="22"/>
                <w:lang w:eastAsia="en-GB"/>
              </w:rPr>
              <w:t>7</w:t>
            </w:r>
            <w:r>
              <w:rPr>
                <w:color w:val="000000"/>
                <w:sz w:val="22"/>
                <w:szCs w:val="22"/>
                <w:lang w:eastAsia="en-GB"/>
              </w:rPr>
              <w:t>17</w:t>
            </w:r>
          </w:p>
        </w:tc>
        <w:tc>
          <w:tcPr>
            <w:tcW w:w="2503" w:type="dxa"/>
            <w:tcBorders>
              <w:top w:val="nil"/>
              <w:left w:val="nil"/>
              <w:bottom w:val="single" w:sz="4" w:space="0" w:color="auto"/>
              <w:right w:val="single" w:sz="4" w:space="0" w:color="auto"/>
            </w:tcBorders>
            <w:shd w:val="clear" w:color="auto" w:fill="auto"/>
            <w:noWrap/>
            <w:vAlign w:val="center"/>
            <w:hideMark/>
          </w:tcPr>
          <w:p w14:paraId="20825C01" w14:textId="77777777" w:rsidR="00B816BF" w:rsidRPr="008C504A" w:rsidRDefault="00B816BF" w:rsidP="00890082">
            <w:pPr>
              <w:jc w:val="center"/>
              <w:rPr>
                <w:color w:val="000000"/>
                <w:sz w:val="22"/>
                <w:szCs w:val="22"/>
                <w:lang w:eastAsia="en-GB"/>
              </w:rPr>
            </w:pPr>
            <w:r w:rsidRPr="008C504A">
              <w:rPr>
                <w:color w:val="000000"/>
                <w:sz w:val="22"/>
                <w:szCs w:val="22"/>
                <w:lang w:eastAsia="en-GB"/>
              </w:rPr>
              <w:t>5.4%</w:t>
            </w:r>
          </w:p>
        </w:tc>
      </w:tr>
      <w:tr w:rsidR="00B816BF" w:rsidRPr="008C504A" w14:paraId="16FBA898" w14:textId="77777777" w:rsidTr="00890082">
        <w:trPr>
          <w:trHeight w:val="300"/>
        </w:trPr>
        <w:tc>
          <w:tcPr>
            <w:tcW w:w="2319" w:type="dxa"/>
            <w:tcBorders>
              <w:top w:val="nil"/>
              <w:left w:val="single" w:sz="4" w:space="0" w:color="auto"/>
              <w:bottom w:val="single" w:sz="4" w:space="0" w:color="auto"/>
              <w:right w:val="single" w:sz="4" w:space="0" w:color="auto"/>
            </w:tcBorders>
            <w:shd w:val="clear" w:color="auto" w:fill="auto"/>
            <w:noWrap/>
            <w:vAlign w:val="center"/>
            <w:hideMark/>
          </w:tcPr>
          <w:p w14:paraId="4261F79A" w14:textId="77777777" w:rsidR="00B816BF" w:rsidRPr="008C504A" w:rsidRDefault="00B816BF" w:rsidP="00890082">
            <w:pPr>
              <w:rPr>
                <w:color w:val="000000"/>
                <w:sz w:val="22"/>
                <w:szCs w:val="22"/>
                <w:lang w:eastAsia="en-GB"/>
              </w:rPr>
            </w:pPr>
            <w:r w:rsidRPr="008C504A">
              <w:rPr>
                <w:color w:val="000000"/>
                <w:sz w:val="22"/>
                <w:szCs w:val="22"/>
                <w:lang w:eastAsia="en-GB"/>
              </w:rPr>
              <w:t>Roxeth</w:t>
            </w:r>
          </w:p>
        </w:tc>
        <w:tc>
          <w:tcPr>
            <w:tcW w:w="2148" w:type="dxa"/>
            <w:tcBorders>
              <w:top w:val="nil"/>
              <w:left w:val="nil"/>
              <w:bottom w:val="single" w:sz="4" w:space="0" w:color="auto"/>
              <w:right w:val="single" w:sz="4" w:space="0" w:color="auto"/>
            </w:tcBorders>
            <w:shd w:val="clear" w:color="auto" w:fill="auto"/>
            <w:noWrap/>
            <w:vAlign w:val="center"/>
            <w:hideMark/>
          </w:tcPr>
          <w:p w14:paraId="43649FF1" w14:textId="77777777" w:rsidR="00B816BF" w:rsidRPr="008C504A" w:rsidRDefault="00B816BF" w:rsidP="00890082">
            <w:pPr>
              <w:jc w:val="center"/>
              <w:rPr>
                <w:color w:val="000000"/>
                <w:sz w:val="22"/>
                <w:szCs w:val="22"/>
                <w:lang w:eastAsia="en-GB"/>
              </w:rPr>
            </w:pPr>
            <w:r w:rsidRPr="008C504A">
              <w:rPr>
                <w:color w:val="000000"/>
                <w:sz w:val="22"/>
                <w:szCs w:val="22"/>
                <w:lang w:eastAsia="en-GB"/>
              </w:rPr>
              <w:t>6</w:t>
            </w:r>
            <w:r>
              <w:rPr>
                <w:color w:val="000000"/>
                <w:sz w:val="22"/>
                <w:szCs w:val="22"/>
                <w:lang w:eastAsia="en-GB"/>
              </w:rPr>
              <w:t>55</w:t>
            </w:r>
          </w:p>
        </w:tc>
        <w:tc>
          <w:tcPr>
            <w:tcW w:w="2503" w:type="dxa"/>
            <w:tcBorders>
              <w:top w:val="nil"/>
              <w:left w:val="nil"/>
              <w:bottom w:val="single" w:sz="4" w:space="0" w:color="auto"/>
              <w:right w:val="single" w:sz="4" w:space="0" w:color="auto"/>
            </w:tcBorders>
            <w:shd w:val="clear" w:color="auto" w:fill="auto"/>
            <w:noWrap/>
            <w:vAlign w:val="center"/>
            <w:hideMark/>
          </w:tcPr>
          <w:p w14:paraId="0658C7F5" w14:textId="77777777" w:rsidR="00B816BF" w:rsidRPr="008C504A" w:rsidRDefault="00B816BF" w:rsidP="00890082">
            <w:pPr>
              <w:jc w:val="center"/>
              <w:rPr>
                <w:color w:val="000000"/>
                <w:sz w:val="22"/>
                <w:szCs w:val="22"/>
                <w:lang w:eastAsia="en-GB"/>
              </w:rPr>
            </w:pPr>
            <w:r>
              <w:rPr>
                <w:color w:val="000000"/>
                <w:sz w:val="22"/>
                <w:szCs w:val="22"/>
                <w:lang w:eastAsia="en-GB"/>
              </w:rPr>
              <w:t>4.9</w:t>
            </w:r>
            <w:r w:rsidRPr="008C504A">
              <w:rPr>
                <w:color w:val="000000"/>
                <w:sz w:val="22"/>
                <w:szCs w:val="22"/>
                <w:lang w:eastAsia="en-GB"/>
              </w:rPr>
              <w:t>%</w:t>
            </w:r>
          </w:p>
        </w:tc>
      </w:tr>
      <w:tr w:rsidR="00B816BF" w:rsidRPr="008C504A" w14:paraId="2AA741A6" w14:textId="77777777" w:rsidTr="00890082">
        <w:trPr>
          <w:trHeight w:val="300"/>
        </w:trPr>
        <w:tc>
          <w:tcPr>
            <w:tcW w:w="2319" w:type="dxa"/>
            <w:tcBorders>
              <w:top w:val="nil"/>
              <w:left w:val="single" w:sz="4" w:space="0" w:color="auto"/>
              <w:bottom w:val="single" w:sz="4" w:space="0" w:color="auto"/>
              <w:right w:val="single" w:sz="4" w:space="0" w:color="auto"/>
            </w:tcBorders>
            <w:shd w:val="clear" w:color="auto" w:fill="auto"/>
            <w:noWrap/>
            <w:vAlign w:val="center"/>
            <w:hideMark/>
          </w:tcPr>
          <w:p w14:paraId="4F7F9799" w14:textId="77777777" w:rsidR="00B816BF" w:rsidRPr="008C504A" w:rsidRDefault="00B816BF" w:rsidP="00890082">
            <w:pPr>
              <w:rPr>
                <w:color w:val="000000"/>
                <w:sz w:val="22"/>
                <w:szCs w:val="22"/>
                <w:lang w:eastAsia="en-GB"/>
              </w:rPr>
            </w:pPr>
            <w:r w:rsidRPr="008C504A">
              <w:rPr>
                <w:color w:val="000000"/>
                <w:sz w:val="22"/>
                <w:szCs w:val="22"/>
                <w:lang w:eastAsia="en-GB"/>
              </w:rPr>
              <w:t>Wealdstone North</w:t>
            </w:r>
          </w:p>
        </w:tc>
        <w:tc>
          <w:tcPr>
            <w:tcW w:w="2148" w:type="dxa"/>
            <w:tcBorders>
              <w:top w:val="nil"/>
              <w:left w:val="nil"/>
              <w:bottom w:val="single" w:sz="4" w:space="0" w:color="auto"/>
              <w:right w:val="single" w:sz="4" w:space="0" w:color="auto"/>
            </w:tcBorders>
            <w:shd w:val="clear" w:color="auto" w:fill="auto"/>
            <w:noWrap/>
            <w:vAlign w:val="center"/>
            <w:hideMark/>
          </w:tcPr>
          <w:p w14:paraId="6CE7B440" w14:textId="77777777" w:rsidR="00B816BF" w:rsidRPr="008C504A" w:rsidRDefault="00B816BF" w:rsidP="00890082">
            <w:pPr>
              <w:jc w:val="center"/>
              <w:rPr>
                <w:color w:val="000000"/>
                <w:sz w:val="22"/>
                <w:szCs w:val="22"/>
                <w:lang w:eastAsia="en-GB"/>
              </w:rPr>
            </w:pPr>
            <w:r w:rsidRPr="008C504A">
              <w:rPr>
                <w:color w:val="000000"/>
                <w:sz w:val="22"/>
                <w:szCs w:val="22"/>
                <w:lang w:eastAsia="en-GB"/>
              </w:rPr>
              <w:t>6</w:t>
            </w:r>
            <w:r>
              <w:rPr>
                <w:color w:val="000000"/>
                <w:sz w:val="22"/>
                <w:szCs w:val="22"/>
                <w:lang w:eastAsia="en-GB"/>
              </w:rPr>
              <w:t>51</w:t>
            </w:r>
          </w:p>
        </w:tc>
        <w:tc>
          <w:tcPr>
            <w:tcW w:w="2503" w:type="dxa"/>
            <w:tcBorders>
              <w:top w:val="nil"/>
              <w:left w:val="nil"/>
              <w:bottom w:val="single" w:sz="4" w:space="0" w:color="auto"/>
              <w:right w:val="single" w:sz="4" w:space="0" w:color="auto"/>
            </w:tcBorders>
            <w:shd w:val="clear" w:color="auto" w:fill="auto"/>
            <w:noWrap/>
            <w:vAlign w:val="center"/>
            <w:hideMark/>
          </w:tcPr>
          <w:p w14:paraId="0FFAFC21" w14:textId="77777777" w:rsidR="00B816BF" w:rsidRPr="008C504A" w:rsidRDefault="00B816BF" w:rsidP="00890082">
            <w:pPr>
              <w:jc w:val="center"/>
              <w:rPr>
                <w:color w:val="000000"/>
                <w:sz w:val="22"/>
                <w:szCs w:val="22"/>
                <w:lang w:eastAsia="en-GB"/>
              </w:rPr>
            </w:pPr>
            <w:r w:rsidRPr="008C504A">
              <w:rPr>
                <w:color w:val="000000"/>
                <w:sz w:val="22"/>
                <w:szCs w:val="22"/>
                <w:lang w:eastAsia="en-GB"/>
              </w:rPr>
              <w:t>4.</w:t>
            </w:r>
            <w:r>
              <w:rPr>
                <w:color w:val="000000"/>
                <w:sz w:val="22"/>
                <w:szCs w:val="22"/>
                <w:lang w:eastAsia="en-GB"/>
              </w:rPr>
              <w:t>9</w:t>
            </w:r>
            <w:r w:rsidRPr="008C504A">
              <w:rPr>
                <w:color w:val="000000"/>
                <w:sz w:val="22"/>
                <w:szCs w:val="22"/>
                <w:lang w:eastAsia="en-GB"/>
              </w:rPr>
              <w:t>%</w:t>
            </w:r>
          </w:p>
        </w:tc>
      </w:tr>
      <w:tr w:rsidR="00B816BF" w:rsidRPr="008C504A" w14:paraId="61D3296C" w14:textId="77777777" w:rsidTr="00890082">
        <w:trPr>
          <w:trHeight w:val="300"/>
        </w:trPr>
        <w:tc>
          <w:tcPr>
            <w:tcW w:w="2319" w:type="dxa"/>
            <w:tcBorders>
              <w:top w:val="nil"/>
              <w:left w:val="single" w:sz="4" w:space="0" w:color="auto"/>
              <w:bottom w:val="single" w:sz="4" w:space="0" w:color="auto"/>
              <w:right w:val="single" w:sz="4" w:space="0" w:color="auto"/>
            </w:tcBorders>
            <w:shd w:val="clear" w:color="auto" w:fill="auto"/>
            <w:noWrap/>
            <w:vAlign w:val="center"/>
            <w:hideMark/>
          </w:tcPr>
          <w:p w14:paraId="6D8E57F7" w14:textId="77777777" w:rsidR="00B816BF" w:rsidRPr="008C504A" w:rsidRDefault="00B816BF" w:rsidP="00890082">
            <w:pPr>
              <w:rPr>
                <w:color w:val="000000"/>
                <w:sz w:val="22"/>
                <w:szCs w:val="22"/>
                <w:lang w:eastAsia="en-GB"/>
              </w:rPr>
            </w:pPr>
            <w:r w:rsidRPr="008C504A">
              <w:rPr>
                <w:color w:val="000000"/>
                <w:sz w:val="22"/>
                <w:szCs w:val="22"/>
                <w:lang w:eastAsia="en-GB"/>
              </w:rPr>
              <w:t>Pinner South</w:t>
            </w:r>
          </w:p>
        </w:tc>
        <w:tc>
          <w:tcPr>
            <w:tcW w:w="2148" w:type="dxa"/>
            <w:tcBorders>
              <w:top w:val="nil"/>
              <w:left w:val="nil"/>
              <w:bottom w:val="single" w:sz="4" w:space="0" w:color="auto"/>
              <w:right w:val="single" w:sz="4" w:space="0" w:color="auto"/>
            </w:tcBorders>
            <w:shd w:val="clear" w:color="auto" w:fill="auto"/>
            <w:noWrap/>
            <w:vAlign w:val="center"/>
            <w:hideMark/>
          </w:tcPr>
          <w:p w14:paraId="08D196B2" w14:textId="77777777" w:rsidR="00B816BF" w:rsidRPr="008C504A" w:rsidRDefault="00B816BF" w:rsidP="00890082">
            <w:pPr>
              <w:jc w:val="center"/>
              <w:rPr>
                <w:color w:val="000000"/>
                <w:sz w:val="22"/>
                <w:szCs w:val="22"/>
                <w:lang w:eastAsia="en-GB"/>
              </w:rPr>
            </w:pPr>
            <w:r w:rsidRPr="008C504A">
              <w:rPr>
                <w:color w:val="000000"/>
                <w:sz w:val="22"/>
                <w:szCs w:val="22"/>
                <w:lang w:eastAsia="en-GB"/>
              </w:rPr>
              <w:t>58</w:t>
            </w:r>
            <w:r>
              <w:rPr>
                <w:color w:val="000000"/>
                <w:sz w:val="22"/>
                <w:szCs w:val="22"/>
                <w:lang w:eastAsia="en-GB"/>
              </w:rPr>
              <w:t>5</w:t>
            </w:r>
          </w:p>
        </w:tc>
        <w:tc>
          <w:tcPr>
            <w:tcW w:w="2503" w:type="dxa"/>
            <w:tcBorders>
              <w:top w:val="nil"/>
              <w:left w:val="nil"/>
              <w:bottom w:val="single" w:sz="4" w:space="0" w:color="auto"/>
              <w:right w:val="single" w:sz="4" w:space="0" w:color="auto"/>
            </w:tcBorders>
            <w:shd w:val="clear" w:color="auto" w:fill="auto"/>
            <w:noWrap/>
            <w:vAlign w:val="center"/>
            <w:hideMark/>
          </w:tcPr>
          <w:p w14:paraId="6B8ED6CB" w14:textId="77777777" w:rsidR="00B816BF" w:rsidRPr="008C504A" w:rsidRDefault="00B816BF" w:rsidP="00890082">
            <w:pPr>
              <w:jc w:val="center"/>
              <w:rPr>
                <w:color w:val="000000"/>
                <w:sz w:val="22"/>
                <w:szCs w:val="22"/>
                <w:lang w:eastAsia="en-GB"/>
              </w:rPr>
            </w:pPr>
            <w:r w:rsidRPr="008C504A">
              <w:rPr>
                <w:color w:val="000000"/>
                <w:sz w:val="22"/>
                <w:szCs w:val="22"/>
                <w:lang w:eastAsia="en-GB"/>
              </w:rPr>
              <w:t>4.</w:t>
            </w:r>
            <w:r>
              <w:rPr>
                <w:color w:val="000000"/>
                <w:sz w:val="22"/>
                <w:szCs w:val="22"/>
                <w:lang w:eastAsia="en-GB"/>
              </w:rPr>
              <w:t>4</w:t>
            </w:r>
            <w:r w:rsidRPr="008C504A">
              <w:rPr>
                <w:color w:val="000000"/>
                <w:sz w:val="22"/>
                <w:szCs w:val="22"/>
                <w:lang w:eastAsia="en-GB"/>
              </w:rPr>
              <w:t>%</w:t>
            </w:r>
          </w:p>
        </w:tc>
      </w:tr>
      <w:tr w:rsidR="00B816BF" w:rsidRPr="008C504A" w14:paraId="451A2F3E" w14:textId="77777777" w:rsidTr="00890082">
        <w:trPr>
          <w:trHeight w:val="300"/>
        </w:trPr>
        <w:tc>
          <w:tcPr>
            <w:tcW w:w="2319" w:type="dxa"/>
            <w:tcBorders>
              <w:top w:val="nil"/>
              <w:left w:val="single" w:sz="4" w:space="0" w:color="auto"/>
              <w:bottom w:val="single" w:sz="4" w:space="0" w:color="auto"/>
              <w:right w:val="single" w:sz="4" w:space="0" w:color="auto"/>
            </w:tcBorders>
            <w:shd w:val="clear" w:color="auto" w:fill="auto"/>
            <w:noWrap/>
            <w:vAlign w:val="center"/>
          </w:tcPr>
          <w:p w14:paraId="7CE901DA" w14:textId="77777777" w:rsidR="00B816BF" w:rsidRPr="008C504A" w:rsidRDefault="00B816BF" w:rsidP="00890082">
            <w:pPr>
              <w:rPr>
                <w:color w:val="000000"/>
                <w:sz w:val="22"/>
                <w:szCs w:val="22"/>
                <w:lang w:eastAsia="en-GB"/>
              </w:rPr>
            </w:pPr>
            <w:r>
              <w:rPr>
                <w:color w:val="000000"/>
                <w:sz w:val="22"/>
                <w:szCs w:val="22"/>
                <w:lang w:eastAsia="en-GB"/>
              </w:rPr>
              <w:t>West Harrow</w:t>
            </w:r>
          </w:p>
        </w:tc>
        <w:tc>
          <w:tcPr>
            <w:tcW w:w="2148" w:type="dxa"/>
            <w:tcBorders>
              <w:top w:val="nil"/>
              <w:left w:val="nil"/>
              <w:bottom w:val="single" w:sz="4" w:space="0" w:color="auto"/>
              <w:right w:val="single" w:sz="4" w:space="0" w:color="auto"/>
            </w:tcBorders>
            <w:shd w:val="clear" w:color="auto" w:fill="auto"/>
            <w:noWrap/>
            <w:vAlign w:val="center"/>
          </w:tcPr>
          <w:p w14:paraId="11F8FE6F" w14:textId="77777777" w:rsidR="00B816BF" w:rsidRPr="008C504A" w:rsidRDefault="00B816BF" w:rsidP="00890082">
            <w:pPr>
              <w:jc w:val="center"/>
              <w:rPr>
                <w:color w:val="000000"/>
                <w:sz w:val="22"/>
                <w:szCs w:val="22"/>
                <w:lang w:eastAsia="en-GB"/>
              </w:rPr>
            </w:pPr>
            <w:r>
              <w:rPr>
                <w:color w:val="000000"/>
                <w:sz w:val="22"/>
                <w:szCs w:val="22"/>
                <w:lang w:eastAsia="en-GB"/>
              </w:rPr>
              <w:t>533</w:t>
            </w:r>
          </w:p>
        </w:tc>
        <w:tc>
          <w:tcPr>
            <w:tcW w:w="2503" w:type="dxa"/>
            <w:tcBorders>
              <w:top w:val="nil"/>
              <w:left w:val="nil"/>
              <w:bottom w:val="single" w:sz="4" w:space="0" w:color="auto"/>
              <w:right w:val="single" w:sz="4" w:space="0" w:color="auto"/>
            </w:tcBorders>
            <w:shd w:val="clear" w:color="auto" w:fill="auto"/>
            <w:noWrap/>
            <w:vAlign w:val="center"/>
          </w:tcPr>
          <w:p w14:paraId="1845B414" w14:textId="77777777" w:rsidR="00B816BF" w:rsidRPr="008C504A" w:rsidRDefault="00B816BF" w:rsidP="00890082">
            <w:pPr>
              <w:jc w:val="center"/>
              <w:rPr>
                <w:color w:val="000000"/>
                <w:sz w:val="22"/>
                <w:szCs w:val="22"/>
                <w:lang w:eastAsia="en-GB"/>
              </w:rPr>
            </w:pPr>
            <w:r>
              <w:rPr>
                <w:color w:val="000000"/>
                <w:sz w:val="22"/>
                <w:szCs w:val="22"/>
                <w:lang w:eastAsia="en-GB"/>
              </w:rPr>
              <w:t>4.0%</w:t>
            </w:r>
          </w:p>
        </w:tc>
      </w:tr>
      <w:tr w:rsidR="00B816BF" w:rsidRPr="008C504A" w14:paraId="07FA6B7B" w14:textId="77777777" w:rsidTr="00890082">
        <w:trPr>
          <w:trHeight w:val="300"/>
        </w:trPr>
        <w:tc>
          <w:tcPr>
            <w:tcW w:w="2319" w:type="dxa"/>
            <w:tcBorders>
              <w:top w:val="nil"/>
              <w:left w:val="single" w:sz="4" w:space="0" w:color="auto"/>
              <w:bottom w:val="single" w:sz="4" w:space="0" w:color="auto"/>
              <w:right w:val="single" w:sz="4" w:space="0" w:color="auto"/>
            </w:tcBorders>
            <w:shd w:val="clear" w:color="auto" w:fill="auto"/>
            <w:noWrap/>
            <w:vAlign w:val="center"/>
          </w:tcPr>
          <w:p w14:paraId="18933E69" w14:textId="77777777" w:rsidR="00B816BF" w:rsidRDefault="00B816BF" w:rsidP="00890082">
            <w:pPr>
              <w:rPr>
                <w:color w:val="000000"/>
                <w:sz w:val="22"/>
                <w:szCs w:val="22"/>
                <w:lang w:eastAsia="en-GB"/>
              </w:rPr>
            </w:pPr>
            <w:r>
              <w:rPr>
                <w:color w:val="000000"/>
                <w:sz w:val="22"/>
                <w:szCs w:val="22"/>
                <w:lang w:eastAsia="en-GB"/>
              </w:rPr>
              <w:t>Marlborough</w:t>
            </w:r>
          </w:p>
        </w:tc>
        <w:tc>
          <w:tcPr>
            <w:tcW w:w="2148" w:type="dxa"/>
            <w:tcBorders>
              <w:top w:val="nil"/>
              <w:left w:val="nil"/>
              <w:bottom w:val="single" w:sz="4" w:space="0" w:color="auto"/>
              <w:right w:val="single" w:sz="4" w:space="0" w:color="auto"/>
            </w:tcBorders>
            <w:shd w:val="clear" w:color="auto" w:fill="auto"/>
            <w:noWrap/>
            <w:vAlign w:val="center"/>
          </w:tcPr>
          <w:p w14:paraId="63CDF04C" w14:textId="77777777" w:rsidR="00B816BF" w:rsidRDefault="00B816BF" w:rsidP="00890082">
            <w:pPr>
              <w:jc w:val="center"/>
              <w:rPr>
                <w:color w:val="000000"/>
                <w:sz w:val="22"/>
                <w:szCs w:val="22"/>
                <w:lang w:eastAsia="en-GB"/>
              </w:rPr>
            </w:pPr>
            <w:r>
              <w:rPr>
                <w:color w:val="000000"/>
                <w:sz w:val="22"/>
                <w:szCs w:val="22"/>
                <w:lang w:eastAsia="en-GB"/>
              </w:rPr>
              <w:t>511</w:t>
            </w:r>
          </w:p>
        </w:tc>
        <w:tc>
          <w:tcPr>
            <w:tcW w:w="2503" w:type="dxa"/>
            <w:tcBorders>
              <w:top w:val="nil"/>
              <w:left w:val="nil"/>
              <w:bottom w:val="single" w:sz="4" w:space="0" w:color="auto"/>
              <w:right w:val="single" w:sz="4" w:space="0" w:color="auto"/>
            </w:tcBorders>
            <w:shd w:val="clear" w:color="auto" w:fill="auto"/>
            <w:noWrap/>
            <w:vAlign w:val="center"/>
          </w:tcPr>
          <w:p w14:paraId="6E888F9D" w14:textId="77777777" w:rsidR="00B816BF" w:rsidRDefault="00B816BF" w:rsidP="00890082">
            <w:pPr>
              <w:jc w:val="center"/>
              <w:rPr>
                <w:color w:val="000000"/>
                <w:sz w:val="22"/>
                <w:szCs w:val="22"/>
                <w:lang w:eastAsia="en-GB"/>
              </w:rPr>
            </w:pPr>
            <w:r>
              <w:rPr>
                <w:color w:val="000000"/>
                <w:sz w:val="22"/>
                <w:szCs w:val="22"/>
                <w:lang w:eastAsia="en-GB"/>
              </w:rPr>
              <w:t>3.8%</w:t>
            </w:r>
          </w:p>
        </w:tc>
      </w:tr>
      <w:tr w:rsidR="00B816BF" w:rsidRPr="008C504A" w14:paraId="75F38A36" w14:textId="77777777" w:rsidTr="00890082">
        <w:trPr>
          <w:trHeight w:val="300"/>
        </w:trPr>
        <w:tc>
          <w:tcPr>
            <w:tcW w:w="2319" w:type="dxa"/>
            <w:tcBorders>
              <w:top w:val="nil"/>
              <w:left w:val="single" w:sz="4" w:space="0" w:color="auto"/>
              <w:bottom w:val="single" w:sz="4" w:space="0" w:color="auto"/>
              <w:right w:val="single" w:sz="4" w:space="0" w:color="auto"/>
            </w:tcBorders>
            <w:shd w:val="clear" w:color="auto" w:fill="auto"/>
            <w:noWrap/>
            <w:vAlign w:val="center"/>
            <w:hideMark/>
          </w:tcPr>
          <w:p w14:paraId="2CFA0176" w14:textId="77777777" w:rsidR="00B816BF" w:rsidRPr="008C504A" w:rsidRDefault="00B816BF" w:rsidP="00890082">
            <w:pPr>
              <w:rPr>
                <w:color w:val="000000"/>
                <w:sz w:val="22"/>
                <w:szCs w:val="22"/>
                <w:lang w:eastAsia="en-GB"/>
              </w:rPr>
            </w:pPr>
            <w:r w:rsidRPr="008C504A">
              <w:rPr>
                <w:color w:val="000000"/>
                <w:sz w:val="22"/>
                <w:szCs w:val="22"/>
                <w:lang w:eastAsia="en-GB"/>
              </w:rPr>
              <w:t>Kenton East</w:t>
            </w:r>
          </w:p>
        </w:tc>
        <w:tc>
          <w:tcPr>
            <w:tcW w:w="2148" w:type="dxa"/>
            <w:tcBorders>
              <w:top w:val="nil"/>
              <w:left w:val="nil"/>
              <w:bottom w:val="single" w:sz="4" w:space="0" w:color="auto"/>
              <w:right w:val="single" w:sz="4" w:space="0" w:color="auto"/>
            </w:tcBorders>
            <w:shd w:val="clear" w:color="auto" w:fill="auto"/>
            <w:noWrap/>
            <w:vAlign w:val="center"/>
            <w:hideMark/>
          </w:tcPr>
          <w:p w14:paraId="0E16D30D" w14:textId="77777777" w:rsidR="00B816BF" w:rsidRPr="008C504A" w:rsidRDefault="00B816BF" w:rsidP="00890082">
            <w:pPr>
              <w:jc w:val="center"/>
              <w:rPr>
                <w:color w:val="000000"/>
                <w:sz w:val="22"/>
                <w:szCs w:val="22"/>
                <w:lang w:eastAsia="en-GB"/>
              </w:rPr>
            </w:pPr>
            <w:r w:rsidRPr="008C504A">
              <w:rPr>
                <w:color w:val="000000"/>
                <w:sz w:val="22"/>
                <w:szCs w:val="22"/>
                <w:lang w:eastAsia="en-GB"/>
              </w:rPr>
              <w:t>5</w:t>
            </w:r>
            <w:r>
              <w:rPr>
                <w:color w:val="000000"/>
                <w:sz w:val="22"/>
                <w:szCs w:val="22"/>
                <w:lang w:eastAsia="en-GB"/>
              </w:rPr>
              <w:t>09</w:t>
            </w:r>
          </w:p>
        </w:tc>
        <w:tc>
          <w:tcPr>
            <w:tcW w:w="2503" w:type="dxa"/>
            <w:tcBorders>
              <w:top w:val="nil"/>
              <w:left w:val="nil"/>
              <w:bottom w:val="single" w:sz="4" w:space="0" w:color="auto"/>
              <w:right w:val="single" w:sz="4" w:space="0" w:color="auto"/>
            </w:tcBorders>
            <w:shd w:val="clear" w:color="auto" w:fill="auto"/>
            <w:noWrap/>
            <w:vAlign w:val="center"/>
            <w:hideMark/>
          </w:tcPr>
          <w:p w14:paraId="1CAB62A1" w14:textId="77777777" w:rsidR="00B816BF" w:rsidRPr="008C504A" w:rsidRDefault="00B816BF" w:rsidP="00890082">
            <w:pPr>
              <w:jc w:val="center"/>
              <w:rPr>
                <w:color w:val="000000"/>
                <w:sz w:val="22"/>
                <w:szCs w:val="22"/>
                <w:lang w:eastAsia="en-GB"/>
              </w:rPr>
            </w:pPr>
            <w:r>
              <w:rPr>
                <w:color w:val="000000"/>
                <w:sz w:val="22"/>
                <w:szCs w:val="22"/>
                <w:lang w:eastAsia="en-GB"/>
              </w:rPr>
              <w:t>3.8</w:t>
            </w:r>
            <w:r w:rsidRPr="008C504A">
              <w:rPr>
                <w:color w:val="000000"/>
                <w:sz w:val="22"/>
                <w:szCs w:val="22"/>
                <w:lang w:eastAsia="en-GB"/>
              </w:rPr>
              <w:t>%</w:t>
            </w:r>
          </w:p>
        </w:tc>
      </w:tr>
      <w:tr w:rsidR="00B816BF" w:rsidRPr="008C504A" w14:paraId="70D30A80" w14:textId="77777777" w:rsidTr="00890082">
        <w:trPr>
          <w:trHeight w:val="300"/>
        </w:trPr>
        <w:tc>
          <w:tcPr>
            <w:tcW w:w="2319" w:type="dxa"/>
            <w:tcBorders>
              <w:top w:val="nil"/>
              <w:left w:val="single" w:sz="4" w:space="0" w:color="auto"/>
              <w:bottom w:val="single" w:sz="4" w:space="0" w:color="auto"/>
              <w:right w:val="single" w:sz="4" w:space="0" w:color="auto"/>
            </w:tcBorders>
            <w:shd w:val="clear" w:color="auto" w:fill="auto"/>
            <w:noWrap/>
            <w:vAlign w:val="center"/>
          </w:tcPr>
          <w:p w14:paraId="1B0A1DA6" w14:textId="77777777" w:rsidR="00B816BF" w:rsidRPr="008C504A" w:rsidRDefault="00B816BF" w:rsidP="00890082">
            <w:pPr>
              <w:rPr>
                <w:color w:val="000000"/>
                <w:sz w:val="22"/>
                <w:szCs w:val="22"/>
                <w:lang w:eastAsia="en-GB"/>
              </w:rPr>
            </w:pPr>
            <w:r>
              <w:rPr>
                <w:color w:val="000000"/>
                <w:sz w:val="22"/>
                <w:szCs w:val="22"/>
                <w:lang w:eastAsia="en-GB"/>
              </w:rPr>
              <w:t>Belmont</w:t>
            </w:r>
          </w:p>
        </w:tc>
        <w:tc>
          <w:tcPr>
            <w:tcW w:w="2148" w:type="dxa"/>
            <w:tcBorders>
              <w:top w:val="nil"/>
              <w:left w:val="nil"/>
              <w:bottom w:val="single" w:sz="4" w:space="0" w:color="auto"/>
              <w:right w:val="single" w:sz="4" w:space="0" w:color="auto"/>
            </w:tcBorders>
            <w:shd w:val="clear" w:color="auto" w:fill="auto"/>
            <w:noWrap/>
            <w:vAlign w:val="center"/>
          </w:tcPr>
          <w:p w14:paraId="6E202FA9" w14:textId="77777777" w:rsidR="00B816BF" w:rsidRPr="008C504A" w:rsidRDefault="00B816BF" w:rsidP="00890082">
            <w:pPr>
              <w:jc w:val="center"/>
              <w:rPr>
                <w:color w:val="000000"/>
                <w:sz w:val="22"/>
                <w:szCs w:val="22"/>
                <w:lang w:eastAsia="en-GB"/>
              </w:rPr>
            </w:pPr>
            <w:r>
              <w:rPr>
                <w:color w:val="000000"/>
                <w:sz w:val="22"/>
                <w:szCs w:val="22"/>
                <w:lang w:eastAsia="en-GB"/>
              </w:rPr>
              <w:t>459</w:t>
            </w:r>
          </w:p>
        </w:tc>
        <w:tc>
          <w:tcPr>
            <w:tcW w:w="2503" w:type="dxa"/>
            <w:tcBorders>
              <w:top w:val="nil"/>
              <w:left w:val="nil"/>
              <w:bottom w:val="single" w:sz="4" w:space="0" w:color="auto"/>
              <w:right w:val="single" w:sz="4" w:space="0" w:color="auto"/>
            </w:tcBorders>
            <w:shd w:val="clear" w:color="auto" w:fill="auto"/>
            <w:noWrap/>
            <w:vAlign w:val="center"/>
          </w:tcPr>
          <w:p w14:paraId="63D155BC" w14:textId="77777777" w:rsidR="00B816BF" w:rsidRDefault="00B816BF" w:rsidP="00890082">
            <w:pPr>
              <w:jc w:val="center"/>
              <w:rPr>
                <w:color w:val="000000"/>
                <w:sz w:val="22"/>
                <w:szCs w:val="22"/>
                <w:lang w:eastAsia="en-GB"/>
              </w:rPr>
            </w:pPr>
            <w:r>
              <w:rPr>
                <w:color w:val="000000"/>
                <w:sz w:val="22"/>
                <w:szCs w:val="22"/>
                <w:lang w:eastAsia="en-GB"/>
              </w:rPr>
              <w:t>3.4%</w:t>
            </w:r>
          </w:p>
        </w:tc>
      </w:tr>
      <w:tr w:rsidR="00B816BF" w:rsidRPr="008C504A" w14:paraId="6A7EE116" w14:textId="77777777" w:rsidTr="00890082">
        <w:trPr>
          <w:trHeight w:val="300"/>
        </w:trPr>
        <w:tc>
          <w:tcPr>
            <w:tcW w:w="2319" w:type="dxa"/>
            <w:tcBorders>
              <w:top w:val="nil"/>
              <w:left w:val="single" w:sz="4" w:space="0" w:color="auto"/>
              <w:bottom w:val="single" w:sz="4" w:space="0" w:color="auto"/>
              <w:right w:val="single" w:sz="4" w:space="0" w:color="auto"/>
            </w:tcBorders>
            <w:shd w:val="clear" w:color="auto" w:fill="auto"/>
            <w:noWrap/>
            <w:vAlign w:val="center"/>
          </w:tcPr>
          <w:p w14:paraId="6B46BE58" w14:textId="77777777" w:rsidR="00B816BF" w:rsidRDefault="00B816BF" w:rsidP="00890082">
            <w:pPr>
              <w:rPr>
                <w:color w:val="000000"/>
                <w:sz w:val="22"/>
                <w:szCs w:val="22"/>
                <w:lang w:eastAsia="en-GB"/>
              </w:rPr>
            </w:pPr>
            <w:r>
              <w:rPr>
                <w:color w:val="000000"/>
                <w:sz w:val="22"/>
                <w:szCs w:val="22"/>
                <w:lang w:eastAsia="en-GB"/>
              </w:rPr>
              <w:t>Rayners Lane</w:t>
            </w:r>
          </w:p>
        </w:tc>
        <w:tc>
          <w:tcPr>
            <w:tcW w:w="2148" w:type="dxa"/>
            <w:tcBorders>
              <w:top w:val="nil"/>
              <w:left w:val="nil"/>
              <w:bottom w:val="single" w:sz="4" w:space="0" w:color="auto"/>
              <w:right w:val="single" w:sz="4" w:space="0" w:color="auto"/>
            </w:tcBorders>
            <w:shd w:val="clear" w:color="auto" w:fill="auto"/>
            <w:noWrap/>
            <w:vAlign w:val="center"/>
          </w:tcPr>
          <w:p w14:paraId="14011AE6" w14:textId="77777777" w:rsidR="00B816BF" w:rsidRDefault="00B816BF" w:rsidP="00890082">
            <w:pPr>
              <w:jc w:val="center"/>
              <w:rPr>
                <w:color w:val="000000"/>
                <w:sz w:val="22"/>
                <w:szCs w:val="22"/>
                <w:lang w:eastAsia="en-GB"/>
              </w:rPr>
            </w:pPr>
            <w:r>
              <w:rPr>
                <w:color w:val="000000"/>
                <w:sz w:val="22"/>
                <w:szCs w:val="22"/>
                <w:lang w:eastAsia="en-GB"/>
              </w:rPr>
              <w:t>425</w:t>
            </w:r>
          </w:p>
        </w:tc>
        <w:tc>
          <w:tcPr>
            <w:tcW w:w="2503" w:type="dxa"/>
            <w:tcBorders>
              <w:top w:val="nil"/>
              <w:left w:val="nil"/>
              <w:bottom w:val="single" w:sz="4" w:space="0" w:color="auto"/>
              <w:right w:val="single" w:sz="4" w:space="0" w:color="auto"/>
            </w:tcBorders>
            <w:shd w:val="clear" w:color="auto" w:fill="auto"/>
            <w:noWrap/>
            <w:vAlign w:val="center"/>
          </w:tcPr>
          <w:p w14:paraId="0971B6CF" w14:textId="77777777" w:rsidR="00B816BF" w:rsidRDefault="00B816BF" w:rsidP="00890082">
            <w:pPr>
              <w:jc w:val="center"/>
              <w:rPr>
                <w:color w:val="000000"/>
                <w:sz w:val="22"/>
                <w:szCs w:val="22"/>
                <w:lang w:eastAsia="en-GB"/>
              </w:rPr>
            </w:pPr>
            <w:r>
              <w:rPr>
                <w:color w:val="000000"/>
                <w:sz w:val="22"/>
                <w:szCs w:val="22"/>
                <w:lang w:eastAsia="en-GB"/>
              </w:rPr>
              <w:t>3.2%</w:t>
            </w:r>
          </w:p>
        </w:tc>
      </w:tr>
      <w:tr w:rsidR="00B816BF" w:rsidRPr="008C504A" w14:paraId="17B61D3B" w14:textId="77777777" w:rsidTr="00890082">
        <w:trPr>
          <w:trHeight w:val="300"/>
        </w:trPr>
        <w:tc>
          <w:tcPr>
            <w:tcW w:w="2319" w:type="dxa"/>
            <w:tcBorders>
              <w:top w:val="nil"/>
              <w:left w:val="single" w:sz="4" w:space="0" w:color="auto"/>
              <w:bottom w:val="single" w:sz="4" w:space="0" w:color="auto"/>
              <w:right w:val="single" w:sz="4" w:space="0" w:color="auto"/>
            </w:tcBorders>
            <w:shd w:val="clear" w:color="auto" w:fill="auto"/>
            <w:noWrap/>
            <w:vAlign w:val="center"/>
          </w:tcPr>
          <w:p w14:paraId="208E0A8C" w14:textId="77777777" w:rsidR="00B816BF" w:rsidRDefault="00B816BF" w:rsidP="00890082">
            <w:pPr>
              <w:rPr>
                <w:color w:val="000000"/>
                <w:sz w:val="22"/>
                <w:szCs w:val="22"/>
                <w:lang w:eastAsia="en-GB"/>
              </w:rPr>
            </w:pPr>
            <w:r>
              <w:rPr>
                <w:color w:val="000000"/>
                <w:sz w:val="22"/>
                <w:szCs w:val="22"/>
                <w:lang w:eastAsia="en-GB"/>
              </w:rPr>
              <w:t>Roxbourne</w:t>
            </w:r>
          </w:p>
        </w:tc>
        <w:tc>
          <w:tcPr>
            <w:tcW w:w="2148" w:type="dxa"/>
            <w:tcBorders>
              <w:top w:val="nil"/>
              <w:left w:val="nil"/>
              <w:bottom w:val="single" w:sz="4" w:space="0" w:color="auto"/>
              <w:right w:val="single" w:sz="4" w:space="0" w:color="auto"/>
            </w:tcBorders>
            <w:shd w:val="clear" w:color="auto" w:fill="auto"/>
            <w:noWrap/>
            <w:vAlign w:val="center"/>
          </w:tcPr>
          <w:p w14:paraId="04375283" w14:textId="77777777" w:rsidR="00B816BF" w:rsidRDefault="00B816BF" w:rsidP="00890082">
            <w:pPr>
              <w:jc w:val="center"/>
              <w:rPr>
                <w:color w:val="000000"/>
                <w:sz w:val="22"/>
                <w:szCs w:val="22"/>
                <w:lang w:eastAsia="en-GB"/>
              </w:rPr>
            </w:pPr>
            <w:r>
              <w:rPr>
                <w:color w:val="000000"/>
                <w:sz w:val="22"/>
                <w:szCs w:val="22"/>
                <w:lang w:eastAsia="en-GB"/>
              </w:rPr>
              <w:t>424</w:t>
            </w:r>
          </w:p>
        </w:tc>
        <w:tc>
          <w:tcPr>
            <w:tcW w:w="2503" w:type="dxa"/>
            <w:tcBorders>
              <w:top w:val="nil"/>
              <w:left w:val="nil"/>
              <w:bottom w:val="single" w:sz="4" w:space="0" w:color="auto"/>
              <w:right w:val="single" w:sz="4" w:space="0" w:color="auto"/>
            </w:tcBorders>
            <w:shd w:val="clear" w:color="auto" w:fill="auto"/>
            <w:noWrap/>
            <w:vAlign w:val="center"/>
          </w:tcPr>
          <w:p w14:paraId="5965212A" w14:textId="77777777" w:rsidR="00B816BF" w:rsidRDefault="00B816BF" w:rsidP="00890082">
            <w:pPr>
              <w:jc w:val="center"/>
              <w:rPr>
                <w:color w:val="000000"/>
                <w:sz w:val="22"/>
                <w:szCs w:val="22"/>
                <w:lang w:eastAsia="en-GB"/>
              </w:rPr>
            </w:pPr>
            <w:r>
              <w:rPr>
                <w:color w:val="000000"/>
                <w:sz w:val="22"/>
                <w:szCs w:val="22"/>
                <w:lang w:eastAsia="en-GB"/>
              </w:rPr>
              <w:t>3.2%</w:t>
            </w:r>
          </w:p>
        </w:tc>
      </w:tr>
      <w:tr w:rsidR="00B816BF" w:rsidRPr="008C504A" w14:paraId="3C878520" w14:textId="77777777" w:rsidTr="00890082">
        <w:trPr>
          <w:trHeight w:val="300"/>
        </w:trPr>
        <w:tc>
          <w:tcPr>
            <w:tcW w:w="2319" w:type="dxa"/>
            <w:tcBorders>
              <w:top w:val="nil"/>
              <w:left w:val="single" w:sz="4" w:space="0" w:color="auto"/>
              <w:bottom w:val="single" w:sz="4" w:space="0" w:color="auto"/>
              <w:right w:val="single" w:sz="4" w:space="0" w:color="auto"/>
            </w:tcBorders>
            <w:shd w:val="clear" w:color="auto" w:fill="auto"/>
            <w:noWrap/>
            <w:vAlign w:val="center"/>
          </w:tcPr>
          <w:p w14:paraId="408C1329" w14:textId="77777777" w:rsidR="00B816BF" w:rsidRDefault="00B816BF" w:rsidP="00890082">
            <w:pPr>
              <w:rPr>
                <w:color w:val="000000"/>
                <w:sz w:val="22"/>
                <w:szCs w:val="22"/>
                <w:lang w:eastAsia="en-GB"/>
              </w:rPr>
            </w:pPr>
            <w:r>
              <w:rPr>
                <w:color w:val="000000"/>
                <w:sz w:val="22"/>
                <w:szCs w:val="22"/>
                <w:lang w:eastAsia="en-GB"/>
              </w:rPr>
              <w:t>North Harrow</w:t>
            </w:r>
          </w:p>
        </w:tc>
        <w:tc>
          <w:tcPr>
            <w:tcW w:w="2148" w:type="dxa"/>
            <w:tcBorders>
              <w:top w:val="nil"/>
              <w:left w:val="nil"/>
              <w:bottom w:val="single" w:sz="4" w:space="0" w:color="auto"/>
              <w:right w:val="single" w:sz="4" w:space="0" w:color="auto"/>
            </w:tcBorders>
            <w:shd w:val="clear" w:color="auto" w:fill="auto"/>
            <w:noWrap/>
            <w:vAlign w:val="center"/>
          </w:tcPr>
          <w:p w14:paraId="58C7E49C" w14:textId="77777777" w:rsidR="00B816BF" w:rsidRDefault="00B816BF" w:rsidP="00890082">
            <w:pPr>
              <w:jc w:val="center"/>
              <w:rPr>
                <w:color w:val="000000"/>
                <w:sz w:val="22"/>
                <w:szCs w:val="22"/>
                <w:lang w:eastAsia="en-GB"/>
              </w:rPr>
            </w:pPr>
            <w:r>
              <w:rPr>
                <w:color w:val="000000"/>
                <w:sz w:val="22"/>
                <w:szCs w:val="22"/>
                <w:lang w:eastAsia="en-GB"/>
              </w:rPr>
              <w:t>421</w:t>
            </w:r>
          </w:p>
        </w:tc>
        <w:tc>
          <w:tcPr>
            <w:tcW w:w="2503" w:type="dxa"/>
            <w:tcBorders>
              <w:top w:val="nil"/>
              <w:left w:val="nil"/>
              <w:bottom w:val="single" w:sz="4" w:space="0" w:color="auto"/>
              <w:right w:val="single" w:sz="4" w:space="0" w:color="auto"/>
            </w:tcBorders>
            <w:shd w:val="clear" w:color="auto" w:fill="auto"/>
            <w:noWrap/>
            <w:vAlign w:val="center"/>
          </w:tcPr>
          <w:p w14:paraId="079A10EA" w14:textId="77777777" w:rsidR="00B816BF" w:rsidRDefault="00B816BF" w:rsidP="00890082">
            <w:pPr>
              <w:jc w:val="center"/>
              <w:rPr>
                <w:color w:val="000000"/>
                <w:sz w:val="22"/>
                <w:szCs w:val="22"/>
                <w:lang w:eastAsia="en-GB"/>
              </w:rPr>
            </w:pPr>
            <w:r>
              <w:rPr>
                <w:color w:val="000000"/>
                <w:sz w:val="22"/>
                <w:szCs w:val="22"/>
                <w:lang w:eastAsia="en-GB"/>
              </w:rPr>
              <w:t>3.1%</w:t>
            </w:r>
          </w:p>
        </w:tc>
      </w:tr>
      <w:tr w:rsidR="00B816BF" w:rsidRPr="008C504A" w14:paraId="3675F54A" w14:textId="77777777" w:rsidTr="00890082">
        <w:trPr>
          <w:trHeight w:val="300"/>
        </w:trPr>
        <w:tc>
          <w:tcPr>
            <w:tcW w:w="2319" w:type="dxa"/>
            <w:tcBorders>
              <w:top w:val="nil"/>
              <w:left w:val="single" w:sz="4" w:space="0" w:color="auto"/>
              <w:bottom w:val="single" w:sz="4" w:space="0" w:color="auto"/>
              <w:right w:val="single" w:sz="4" w:space="0" w:color="auto"/>
            </w:tcBorders>
            <w:shd w:val="clear" w:color="auto" w:fill="auto"/>
            <w:noWrap/>
            <w:vAlign w:val="center"/>
            <w:hideMark/>
          </w:tcPr>
          <w:p w14:paraId="360AE53B" w14:textId="77777777" w:rsidR="00B816BF" w:rsidRPr="008C504A" w:rsidRDefault="00B816BF" w:rsidP="00890082">
            <w:pPr>
              <w:rPr>
                <w:color w:val="000000"/>
                <w:sz w:val="22"/>
                <w:szCs w:val="22"/>
                <w:lang w:eastAsia="en-GB"/>
              </w:rPr>
            </w:pPr>
            <w:r w:rsidRPr="008C504A">
              <w:rPr>
                <w:color w:val="000000"/>
                <w:sz w:val="22"/>
                <w:szCs w:val="22"/>
                <w:lang w:eastAsia="en-GB"/>
              </w:rPr>
              <w:t>Wealdstone South</w:t>
            </w:r>
          </w:p>
        </w:tc>
        <w:tc>
          <w:tcPr>
            <w:tcW w:w="2148" w:type="dxa"/>
            <w:tcBorders>
              <w:top w:val="nil"/>
              <w:left w:val="nil"/>
              <w:bottom w:val="single" w:sz="4" w:space="0" w:color="auto"/>
              <w:right w:val="single" w:sz="4" w:space="0" w:color="auto"/>
            </w:tcBorders>
            <w:shd w:val="clear" w:color="auto" w:fill="auto"/>
            <w:noWrap/>
            <w:vAlign w:val="center"/>
            <w:hideMark/>
          </w:tcPr>
          <w:p w14:paraId="5B08E2A5" w14:textId="77777777" w:rsidR="00B816BF" w:rsidRPr="008C504A" w:rsidRDefault="00B816BF" w:rsidP="00890082">
            <w:pPr>
              <w:jc w:val="center"/>
              <w:rPr>
                <w:color w:val="000000"/>
                <w:sz w:val="22"/>
                <w:szCs w:val="22"/>
                <w:lang w:eastAsia="en-GB"/>
              </w:rPr>
            </w:pPr>
            <w:r w:rsidRPr="008C504A">
              <w:rPr>
                <w:color w:val="000000"/>
                <w:sz w:val="22"/>
                <w:szCs w:val="22"/>
                <w:lang w:eastAsia="en-GB"/>
              </w:rPr>
              <w:t>4</w:t>
            </w:r>
            <w:r>
              <w:rPr>
                <w:color w:val="000000"/>
                <w:sz w:val="22"/>
                <w:szCs w:val="22"/>
                <w:lang w:eastAsia="en-GB"/>
              </w:rPr>
              <w:t>08</w:t>
            </w:r>
          </w:p>
        </w:tc>
        <w:tc>
          <w:tcPr>
            <w:tcW w:w="2503" w:type="dxa"/>
            <w:tcBorders>
              <w:top w:val="nil"/>
              <w:left w:val="nil"/>
              <w:bottom w:val="single" w:sz="4" w:space="0" w:color="auto"/>
              <w:right w:val="single" w:sz="4" w:space="0" w:color="auto"/>
            </w:tcBorders>
            <w:shd w:val="clear" w:color="auto" w:fill="auto"/>
            <w:noWrap/>
            <w:vAlign w:val="center"/>
            <w:hideMark/>
          </w:tcPr>
          <w:p w14:paraId="7EEBC874" w14:textId="77777777" w:rsidR="00B816BF" w:rsidRPr="008C504A" w:rsidRDefault="00B816BF" w:rsidP="00890082">
            <w:pPr>
              <w:jc w:val="center"/>
              <w:rPr>
                <w:color w:val="000000"/>
                <w:sz w:val="22"/>
                <w:szCs w:val="22"/>
                <w:lang w:eastAsia="en-GB"/>
              </w:rPr>
            </w:pPr>
            <w:r w:rsidRPr="008C504A">
              <w:rPr>
                <w:color w:val="000000"/>
                <w:sz w:val="22"/>
                <w:szCs w:val="22"/>
                <w:lang w:eastAsia="en-GB"/>
              </w:rPr>
              <w:t>3.</w:t>
            </w:r>
            <w:r>
              <w:rPr>
                <w:color w:val="000000"/>
                <w:sz w:val="22"/>
                <w:szCs w:val="22"/>
                <w:lang w:eastAsia="en-GB"/>
              </w:rPr>
              <w:t>0</w:t>
            </w:r>
            <w:r w:rsidRPr="008C504A">
              <w:rPr>
                <w:color w:val="000000"/>
                <w:sz w:val="22"/>
                <w:szCs w:val="22"/>
                <w:lang w:eastAsia="en-GB"/>
              </w:rPr>
              <w:t>%</w:t>
            </w:r>
          </w:p>
        </w:tc>
      </w:tr>
      <w:tr w:rsidR="00B816BF" w:rsidRPr="008C504A" w14:paraId="0BE86243" w14:textId="77777777" w:rsidTr="00890082">
        <w:trPr>
          <w:trHeight w:val="300"/>
        </w:trPr>
        <w:tc>
          <w:tcPr>
            <w:tcW w:w="2319" w:type="dxa"/>
            <w:tcBorders>
              <w:top w:val="nil"/>
              <w:left w:val="single" w:sz="4" w:space="0" w:color="auto"/>
              <w:bottom w:val="single" w:sz="4" w:space="0" w:color="auto"/>
              <w:right w:val="single" w:sz="4" w:space="0" w:color="auto"/>
            </w:tcBorders>
            <w:shd w:val="clear" w:color="auto" w:fill="auto"/>
            <w:noWrap/>
            <w:vAlign w:val="center"/>
          </w:tcPr>
          <w:p w14:paraId="664FE821" w14:textId="77777777" w:rsidR="00B816BF" w:rsidRPr="008C504A" w:rsidRDefault="00B816BF" w:rsidP="00890082">
            <w:pPr>
              <w:rPr>
                <w:color w:val="000000"/>
                <w:sz w:val="22"/>
                <w:szCs w:val="22"/>
                <w:lang w:eastAsia="en-GB"/>
              </w:rPr>
            </w:pPr>
            <w:r>
              <w:rPr>
                <w:color w:val="000000"/>
                <w:sz w:val="22"/>
                <w:szCs w:val="22"/>
                <w:lang w:eastAsia="en-GB"/>
              </w:rPr>
              <w:t>Greenhill</w:t>
            </w:r>
          </w:p>
        </w:tc>
        <w:tc>
          <w:tcPr>
            <w:tcW w:w="2148" w:type="dxa"/>
            <w:tcBorders>
              <w:top w:val="nil"/>
              <w:left w:val="nil"/>
              <w:bottom w:val="single" w:sz="4" w:space="0" w:color="auto"/>
              <w:right w:val="single" w:sz="4" w:space="0" w:color="auto"/>
            </w:tcBorders>
            <w:shd w:val="clear" w:color="auto" w:fill="auto"/>
            <w:noWrap/>
            <w:vAlign w:val="center"/>
          </w:tcPr>
          <w:p w14:paraId="2289286F" w14:textId="77777777" w:rsidR="00B816BF" w:rsidRPr="008C504A" w:rsidRDefault="00B816BF" w:rsidP="00890082">
            <w:pPr>
              <w:jc w:val="center"/>
              <w:rPr>
                <w:color w:val="000000"/>
                <w:sz w:val="22"/>
                <w:szCs w:val="22"/>
                <w:lang w:eastAsia="en-GB"/>
              </w:rPr>
            </w:pPr>
            <w:r>
              <w:rPr>
                <w:color w:val="000000"/>
                <w:sz w:val="22"/>
                <w:szCs w:val="22"/>
                <w:lang w:eastAsia="en-GB"/>
              </w:rPr>
              <w:t>407</w:t>
            </w:r>
          </w:p>
        </w:tc>
        <w:tc>
          <w:tcPr>
            <w:tcW w:w="2503" w:type="dxa"/>
            <w:tcBorders>
              <w:top w:val="nil"/>
              <w:left w:val="nil"/>
              <w:bottom w:val="single" w:sz="4" w:space="0" w:color="auto"/>
              <w:right w:val="single" w:sz="4" w:space="0" w:color="auto"/>
            </w:tcBorders>
            <w:shd w:val="clear" w:color="auto" w:fill="auto"/>
            <w:noWrap/>
            <w:vAlign w:val="center"/>
          </w:tcPr>
          <w:p w14:paraId="02E0FA20" w14:textId="77777777" w:rsidR="00B816BF" w:rsidRPr="008C504A" w:rsidRDefault="00B816BF" w:rsidP="00890082">
            <w:pPr>
              <w:jc w:val="center"/>
              <w:rPr>
                <w:color w:val="000000"/>
                <w:sz w:val="22"/>
                <w:szCs w:val="22"/>
                <w:lang w:eastAsia="en-GB"/>
              </w:rPr>
            </w:pPr>
            <w:r>
              <w:rPr>
                <w:color w:val="000000"/>
                <w:sz w:val="22"/>
                <w:szCs w:val="22"/>
                <w:lang w:eastAsia="en-GB"/>
              </w:rPr>
              <w:t>3.0%</w:t>
            </w:r>
          </w:p>
        </w:tc>
      </w:tr>
      <w:tr w:rsidR="00B816BF" w:rsidRPr="008C504A" w14:paraId="106A9D8B" w14:textId="77777777" w:rsidTr="00890082">
        <w:trPr>
          <w:trHeight w:val="300"/>
        </w:trPr>
        <w:tc>
          <w:tcPr>
            <w:tcW w:w="2319" w:type="dxa"/>
            <w:tcBorders>
              <w:top w:val="nil"/>
              <w:left w:val="single" w:sz="4" w:space="0" w:color="auto"/>
              <w:bottom w:val="single" w:sz="4" w:space="0" w:color="auto"/>
              <w:right w:val="single" w:sz="4" w:space="0" w:color="auto"/>
            </w:tcBorders>
            <w:shd w:val="clear" w:color="auto" w:fill="auto"/>
            <w:noWrap/>
            <w:vAlign w:val="center"/>
          </w:tcPr>
          <w:p w14:paraId="6D0E6680" w14:textId="77777777" w:rsidR="00B816BF" w:rsidRDefault="00B816BF" w:rsidP="00890082">
            <w:pPr>
              <w:rPr>
                <w:color w:val="000000"/>
                <w:sz w:val="22"/>
                <w:szCs w:val="22"/>
                <w:lang w:eastAsia="en-GB"/>
              </w:rPr>
            </w:pPr>
            <w:r>
              <w:rPr>
                <w:color w:val="000000"/>
                <w:sz w:val="22"/>
                <w:szCs w:val="22"/>
                <w:lang w:eastAsia="en-GB"/>
              </w:rPr>
              <w:t>Stanmore</w:t>
            </w:r>
          </w:p>
        </w:tc>
        <w:tc>
          <w:tcPr>
            <w:tcW w:w="2148" w:type="dxa"/>
            <w:tcBorders>
              <w:top w:val="nil"/>
              <w:left w:val="nil"/>
              <w:bottom w:val="single" w:sz="4" w:space="0" w:color="auto"/>
              <w:right w:val="single" w:sz="4" w:space="0" w:color="auto"/>
            </w:tcBorders>
            <w:shd w:val="clear" w:color="auto" w:fill="auto"/>
            <w:noWrap/>
            <w:vAlign w:val="center"/>
          </w:tcPr>
          <w:p w14:paraId="5C7F3C3E" w14:textId="77777777" w:rsidR="00B816BF" w:rsidRDefault="00B816BF" w:rsidP="00890082">
            <w:pPr>
              <w:jc w:val="center"/>
              <w:rPr>
                <w:color w:val="000000"/>
                <w:sz w:val="22"/>
                <w:szCs w:val="22"/>
                <w:lang w:eastAsia="en-GB"/>
              </w:rPr>
            </w:pPr>
            <w:r>
              <w:rPr>
                <w:color w:val="000000"/>
                <w:sz w:val="22"/>
                <w:szCs w:val="22"/>
                <w:lang w:eastAsia="en-GB"/>
              </w:rPr>
              <w:t>405</w:t>
            </w:r>
          </w:p>
        </w:tc>
        <w:tc>
          <w:tcPr>
            <w:tcW w:w="2503" w:type="dxa"/>
            <w:tcBorders>
              <w:top w:val="nil"/>
              <w:left w:val="nil"/>
              <w:bottom w:val="single" w:sz="4" w:space="0" w:color="auto"/>
              <w:right w:val="single" w:sz="4" w:space="0" w:color="auto"/>
            </w:tcBorders>
            <w:shd w:val="clear" w:color="auto" w:fill="auto"/>
            <w:noWrap/>
            <w:vAlign w:val="center"/>
          </w:tcPr>
          <w:p w14:paraId="1836FBE7" w14:textId="77777777" w:rsidR="00B816BF" w:rsidRDefault="00B816BF" w:rsidP="00890082">
            <w:pPr>
              <w:jc w:val="center"/>
              <w:rPr>
                <w:color w:val="000000"/>
                <w:sz w:val="22"/>
                <w:szCs w:val="22"/>
                <w:lang w:eastAsia="en-GB"/>
              </w:rPr>
            </w:pPr>
            <w:r>
              <w:rPr>
                <w:color w:val="000000"/>
                <w:sz w:val="22"/>
                <w:szCs w:val="22"/>
                <w:lang w:eastAsia="en-GB"/>
              </w:rPr>
              <w:t>3.0%</w:t>
            </w:r>
          </w:p>
        </w:tc>
      </w:tr>
      <w:tr w:rsidR="00B816BF" w:rsidRPr="008C504A" w14:paraId="2A7706B2" w14:textId="77777777" w:rsidTr="00890082">
        <w:trPr>
          <w:trHeight w:val="300"/>
        </w:trPr>
        <w:tc>
          <w:tcPr>
            <w:tcW w:w="2319" w:type="dxa"/>
            <w:tcBorders>
              <w:top w:val="nil"/>
              <w:left w:val="single" w:sz="4" w:space="0" w:color="auto"/>
              <w:bottom w:val="single" w:sz="4" w:space="0" w:color="auto"/>
              <w:right w:val="single" w:sz="4" w:space="0" w:color="auto"/>
            </w:tcBorders>
            <w:shd w:val="clear" w:color="auto" w:fill="auto"/>
            <w:noWrap/>
            <w:vAlign w:val="center"/>
            <w:hideMark/>
          </w:tcPr>
          <w:p w14:paraId="652AA20E" w14:textId="77777777" w:rsidR="00B816BF" w:rsidRPr="008C504A" w:rsidRDefault="00B816BF" w:rsidP="00890082">
            <w:pPr>
              <w:rPr>
                <w:color w:val="000000"/>
                <w:sz w:val="22"/>
                <w:szCs w:val="22"/>
                <w:lang w:eastAsia="en-GB"/>
              </w:rPr>
            </w:pPr>
            <w:r w:rsidRPr="008C504A">
              <w:rPr>
                <w:color w:val="000000"/>
                <w:sz w:val="22"/>
                <w:szCs w:val="22"/>
                <w:lang w:eastAsia="en-GB"/>
              </w:rPr>
              <w:t>Kenton West</w:t>
            </w:r>
          </w:p>
        </w:tc>
        <w:tc>
          <w:tcPr>
            <w:tcW w:w="2148" w:type="dxa"/>
            <w:tcBorders>
              <w:top w:val="nil"/>
              <w:left w:val="nil"/>
              <w:bottom w:val="single" w:sz="4" w:space="0" w:color="auto"/>
              <w:right w:val="single" w:sz="4" w:space="0" w:color="auto"/>
            </w:tcBorders>
            <w:shd w:val="clear" w:color="auto" w:fill="auto"/>
            <w:noWrap/>
            <w:vAlign w:val="center"/>
            <w:hideMark/>
          </w:tcPr>
          <w:p w14:paraId="2F97D4A5" w14:textId="77777777" w:rsidR="00B816BF" w:rsidRPr="008C504A" w:rsidRDefault="00B816BF" w:rsidP="00890082">
            <w:pPr>
              <w:jc w:val="center"/>
              <w:rPr>
                <w:color w:val="000000"/>
                <w:sz w:val="22"/>
                <w:szCs w:val="22"/>
                <w:lang w:eastAsia="en-GB"/>
              </w:rPr>
            </w:pPr>
            <w:r w:rsidRPr="008C504A">
              <w:rPr>
                <w:color w:val="000000"/>
                <w:sz w:val="22"/>
                <w:szCs w:val="22"/>
                <w:lang w:eastAsia="en-GB"/>
              </w:rPr>
              <w:t>3</w:t>
            </w:r>
            <w:r>
              <w:rPr>
                <w:color w:val="000000"/>
                <w:sz w:val="22"/>
                <w:szCs w:val="22"/>
                <w:lang w:eastAsia="en-GB"/>
              </w:rPr>
              <w:t>91</w:t>
            </w:r>
          </w:p>
        </w:tc>
        <w:tc>
          <w:tcPr>
            <w:tcW w:w="2503" w:type="dxa"/>
            <w:tcBorders>
              <w:top w:val="nil"/>
              <w:left w:val="nil"/>
              <w:bottom w:val="single" w:sz="4" w:space="0" w:color="auto"/>
              <w:right w:val="single" w:sz="4" w:space="0" w:color="auto"/>
            </w:tcBorders>
            <w:shd w:val="clear" w:color="auto" w:fill="auto"/>
            <w:noWrap/>
            <w:vAlign w:val="center"/>
            <w:hideMark/>
          </w:tcPr>
          <w:p w14:paraId="6EC58472" w14:textId="77777777" w:rsidR="00B816BF" w:rsidRPr="008C504A" w:rsidRDefault="00B816BF" w:rsidP="00890082">
            <w:pPr>
              <w:jc w:val="center"/>
              <w:rPr>
                <w:color w:val="000000"/>
                <w:sz w:val="22"/>
                <w:szCs w:val="22"/>
                <w:lang w:eastAsia="en-GB"/>
              </w:rPr>
            </w:pPr>
            <w:r w:rsidRPr="008C504A">
              <w:rPr>
                <w:color w:val="000000"/>
                <w:sz w:val="22"/>
                <w:szCs w:val="22"/>
                <w:lang w:eastAsia="en-GB"/>
              </w:rPr>
              <w:t>2.9%</w:t>
            </w:r>
          </w:p>
        </w:tc>
      </w:tr>
      <w:tr w:rsidR="00B816BF" w:rsidRPr="008C504A" w14:paraId="00A0EB4E" w14:textId="77777777" w:rsidTr="00890082">
        <w:trPr>
          <w:trHeight w:val="300"/>
        </w:trPr>
        <w:tc>
          <w:tcPr>
            <w:tcW w:w="2319" w:type="dxa"/>
            <w:tcBorders>
              <w:top w:val="nil"/>
              <w:left w:val="single" w:sz="4" w:space="0" w:color="auto"/>
              <w:bottom w:val="single" w:sz="4" w:space="0" w:color="auto"/>
              <w:right w:val="single" w:sz="4" w:space="0" w:color="auto"/>
            </w:tcBorders>
            <w:shd w:val="clear" w:color="auto" w:fill="auto"/>
            <w:noWrap/>
            <w:vAlign w:val="center"/>
            <w:hideMark/>
          </w:tcPr>
          <w:p w14:paraId="3348A91D" w14:textId="77777777" w:rsidR="00B816BF" w:rsidRPr="008C504A" w:rsidRDefault="00B816BF" w:rsidP="00890082">
            <w:pPr>
              <w:rPr>
                <w:color w:val="000000"/>
                <w:sz w:val="22"/>
                <w:szCs w:val="22"/>
                <w:lang w:eastAsia="en-GB"/>
              </w:rPr>
            </w:pPr>
            <w:r w:rsidRPr="008C504A">
              <w:rPr>
                <w:color w:val="000000"/>
                <w:sz w:val="22"/>
                <w:szCs w:val="22"/>
                <w:lang w:eastAsia="en-GB"/>
              </w:rPr>
              <w:t>Harrow on the Hill</w:t>
            </w:r>
          </w:p>
        </w:tc>
        <w:tc>
          <w:tcPr>
            <w:tcW w:w="2148" w:type="dxa"/>
            <w:tcBorders>
              <w:top w:val="nil"/>
              <w:left w:val="nil"/>
              <w:bottom w:val="single" w:sz="4" w:space="0" w:color="auto"/>
              <w:right w:val="single" w:sz="4" w:space="0" w:color="auto"/>
            </w:tcBorders>
            <w:shd w:val="clear" w:color="auto" w:fill="auto"/>
            <w:noWrap/>
            <w:vAlign w:val="center"/>
            <w:hideMark/>
          </w:tcPr>
          <w:p w14:paraId="058C9E32" w14:textId="77777777" w:rsidR="00B816BF" w:rsidRPr="008C504A" w:rsidRDefault="00B816BF" w:rsidP="00890082">
            <w:pPr>
              <w:jc w:val="center"/>
              <w:rPr>
                <w:color w:val="000000"/>
                <w:sz w:val="22"/>
                <w:szCs w:val="22"/>
                <w:lang w:eastAsia="en-GB"/>
              </w:rPr>
            </w:pPr>
            <w:r w:rsidRPr="008C504A">
              <w:rPr>
                <w:color w:val="000000"/>
                <w:sz w:val="22"/>
                <w:szCs w:val="22"/>
                <w:lang w:eastAsia="en-GB"/>
              </w:rPr>
              <w:t>3</w:t>
            </w:r>
            <w:r>
              <w:rPr>
                <w:color w:val="000000"/>
                <w:sz w:val="22"/>
                <w:szCs w:val="22"/>
                <w:lang w:eastAsia="en-GB"/>
              </w:rPr>
              <w:t>56</w:t>
            </w:r>
          </w:p>
        </w:tc>
        <w:tc>
          <w:tcPr>
            <w:tcW w:w="2503" w:type="dxa"/>
            <w:tcBorders>
              <w:top w:val="nil"/>
              <w:left w:val="nil"/>
              <w:bottom w:val="single" w:sz="4" w:space="0" w:color="auto"/>
              <w:right w:val="single" w:sz="4" w:space="0" w:color="auto"/>
            </w:tcBorders>
            <w:shd w:val="clear" w:color="auto" w:fill="auto"/>
            <w:noWrap/>
            <w:vAlign w:val="center"/>
            <w:hideMark/>
          </w:tcPr>
          <w:p w14:paraId="7E9DA3C6" w14:textId="77777777" w:rsidR="00B816BF" w:rsidRPr="008C504A" w:rsidRDefault="00B816BF" w:rsidP="00890082">
            <w:pPr>
              <w:jc w:val="center"/>
              <w:rPr>
                <w:color w:val="000000"/>
                <w:sz w:val="22"/>
                <w:szCs w:val="22"/>
                <w:lang w:eastAsia="en-GB"/>
              </w:rPr>
            </w:pPr>
            <w:r w:rsidRPr="008C504A">
              <w:rPr>
                <w:color w:val="000000"/>
                <w:sz w:val="22"/>
                <w:szCs w:val="22"/>
                <w:lang w:eastAsia="en-GB"/>
              </w:rPr>
              <w:t>2.</w:t>
            </w:r>
            <w:r>
              <w:rPr>
                <w:color w:val="000000"/>
                <w:sz w:val="22"/>
                <w:szCs w:val="22"/>
                <w:lang w:eastAsia="en-GB"/>
              </w:rPr>
              <w:t>7</w:t>
            </w:r>
            <w:r w:rsidRPr="008C504A">
              <w:rPr>
                <w:color w:val="000000"/>
                <w:sz w:val="22"/>
                <w:szCs w:val="22"/>
                <w:lang w:eastAsia="en-GB"/>
              </w:rPr>
              <w:t>%</w:t>
            </w:r>
          </w:p>
        </w:tc>
      </w:tr>
      <w:tr w:rsidR="00B816BF" w:rsidRPr="008C504A" w14:paraId="5883EAE3" w14:textId="77777777" w:rsidTr="00890082">
        <w:trPr>
          <w:trHeight w:val="300"/>
        </w:trPr>
        <w:tc>
          <w:tcPr>
            <w:tcW w:w="2319" w:type="dxa"/>
            <w:tcBorders>
              <w:top w:val="nil"/>
              <w:left w:val="single" w:sz="4" w:space="0" w:color="auto"/>
              <w:bottom w:val="single" w:sz="4" w:space="0" w:color="auto"/>
              <w:right w:val="single" w:sz="4" w:space="0" w:color="auto"/>
            </w:tcBorders>
            <w:shd w:val="clear" w:color="auto" w:fill="auto"/>
            <w:noWrap/>
            <w:vAlign w:val="center"/>
            <w:hideMark/>
          </w:tcPr>
          <w:p w14:paraId="386FB2ED" w14:textId="77777777" w:rsidR="00B816BF" w:rsidRPr="008C504A" w:rsidRDefault="00B816BF" w:rsidP="00890082">
            <w:pPr>
              <w:rPr>
                <w:color w:val="000000"/>
                <w:sz w:val="22"/>
                <w:szCs w:val="22"/>
                <w:lang w:eastAsia="en-GB"/>
              </w:rPr>
            </w:pPr>
            <w:r w:rsidRPr="008C504A">
              <w:rPr>
                <w:color w:val="000000"/>
                <w:sz w:val="22"/>
                <w:szCs w:val="22"/>
                <w:lang w:eastAsia="en-GB"/>
              </w:rPr>
              <w:t>Pinner</w:t>
            </w:r>
          </w:p>
        </w:tc>
        <w:tc>
          <w:tcPr>
            <w:tcW w:w="2148" w:type="dxa"/>
            <w:tcBorders>
              <w:top w:val="nil"/>
              <w:left w:val="nil"/>
              <w:bottom w:val="single" w:sz="4" w:space="0" w:color="auto"/>
              <w:right w:val="single" w:sz="4" w:space="0" w:color="auto"/>
            </w:tcBorders>
            <w:shd w:val="clear" w:color="auto" w:fill="auto"/>
            <w:noWrap/>
            <w:vAlign w:val="center"/>
            <w:hideMark/>
          </w:tcPr>
          <w:p w14:paraId="303012A7" w14:textId="77777777" w:rsidR="00B816BF" w:rsidRPr="008C504A" w:rsidRDefault="00B816BF" w:rsidP="00890082">
            <w:pPr>
              <w:jc w:val="center"/>
              <w:rPr>
                <w:color w:val="000000"/>
                <w:sz w:val="22"/>
                <w:szCs w:val="22"/>
                <w:lang w:eastAsia="en-GB"/>
              </w:rPr>
            </w:pPr>
            <w:r w:rsidRPr="008C504A">
              <w:rPr>
                <w:color w:val="000000"/>
                <w:sz w:val="22"/>
                <w:szCs w:val="22"/>
                <w:lang w:eastAsia="en-GB"/>
              </w:rPr>
              <w:t>2</w:t>
            </w:r>
            <w:r>
              <w:rPr>
                <w:color w:val="000000"/>
                <w:sz w:val="22"/>
                <w:szCs w:val="22"/>
                <w:lang w:eastAsia="en-GB"/>
              </w:rPr>
              <w:t>94</w:t>
            </w:r>
          </w:p>
        </w:tc>
        <w:tc>
          <w:tcPr>
            <w:tcW w:w="2503" w:type="dxa"/>
            <w:tcBorders>
              <w:top w:val="nil"/>
              <w:left w:val="nil"/>
              <w:bottom w:val="single" w:sz="4" w:space="0" w:color="auto"/>
              <w:right w:val="single" w:sz="4" w:space="0" w:color="auto"/>
            </w:tcBorders>
            <w:shd w:val="clear" w:color="auto" w:fill="auto"/>
            <w:noWrap/>
            <w:vAlign w:val="center"/>
            <w:hideMark/>
          </w:tcPr>
          <w:p w14:paraId="3F486CD5" w14:textId="77777777" w:rsidR="00B816BF" w:rsidRPr="008C504A" w:rsidRDefault="00B816BF" w:rsidP="00890082">
            <w:pPr>
              <w:jc w:val="center"/>
              <w:rPr>
                <w:color w:val="000000"/>
                <w:sz w:val="22"/>
                <w:szCs w:val="22"/>
                <w:lang w:eastAsia="en-GB"/>
              </w:rPr>
            </w:pPr>
            <w:r w:rsidRPr="008C504A">
              <w:rPr>
                <w:color w:val="000000"/>
                <w:sz w:val="22"/>
                <w:szCs w:val="22"/>
                <w:lang w:eastAsia="en-GB"/>
              </w:rPr>
              <w:t>2.2%</w:t>
            </w:r>
          </w:p>
        </w:tc>
      </w:tr>
      <w:tr w:rsidR="00B816BF" w:rsidRPr="008C504A" w14:paraId="4C5C219B" w14:textId="77777777" w:rsidTr="00890082">
        <w:trPr>
          <w:trHeight w:val="300"/>
        </w:trPr>
        <w:tc>
          <w:tcPr>
            <w:tcW w:w="2319" w:type="dxa"/>
            <w:tcBorders>
              <w:top w:val="nil"/>
              <w:left w:val="single" w:sz="4" w:space="0" w:color="auto"/>
              <w:bottom w:val="single" w:sz="4" w:space="0" w:color="auto"/>
              <w:right w:val="single" w:sz="4" w:space="0" w:color="auto"/>
            </w:tcBorders>
            <w:shd w:val="clear" w:color="auto" w:fill="auto"/>
            <w:noWrap/>
            <w:vAlign w:val="center"/>
            <w:hideMark/>
          </w:tcPr>
          <w:p w14:paraId="57D6F98E" w14:textId="77777777" w:rsidR="00B816BF" w:rsidRPr="008C504A" w:rsidRDefault="00B816BF" w:rsidP="00890082">
            <w:pPr>
              <w:rPr>
                <w:color w:val="000000"/>
                <w:sz w:val="22"/>
                <w:szCs w:val="22"/>
                <w:lang w:eastAsia="en-GB"/>
              </w:rPr>
            </w:pPr>
            <w:r w:rsidRPr="008C504A">
              <w:rPr>
                <w:color w:val="000000"/>
                <w:sz w:val="22"/>
                <w:szCs w:val="22"/>
                <w:lang w:eastAsia="en-GB"/>
              </w:rPr>
              <w:t>Canons</w:t>
            </w:r>
          </w:p>
        </w:tc>
        <w:tc>
          <w:tcPr>
            <w:tcW w:w="2148" w:type="dxa"/>
            <w:tcBorders>
              <w:top w:val="nil"/>
              <w:left w:val="nil"/>
              <w:bottom w:val="single" w:sz="4" w:space="0" w:color="auto"/>
              <w:right w:val="single" w:sz="4" w:space="0" w:color="auto"/>
            </w:tcBorders>
            <w:shd w:val="clear" w:color="auto" w:fill="auto"/>
            <w:noWrap/>
            <w:vAlign w:val="center"/>
            <w:hideMark/>
          </w:tcPr>
          <w:p w14:paraId="6D30966C" w14:textId="77777777" w:rsidR="00B816BF" w:rsidRPr="008C504A" w:rsidRDefault="00B816BF" w:rsidP="00890082">
            <w:pPr>
              <w:jc w:val="center"/>
              <w:rPr>
                <w:color w:val="000000"/>
                <w:sz w:val="22"/>
                <w:szCs w:val="22"/>
                <w:lang w:eastAsia="en-GB"/>
              </w:rPr>
            </w:pPr>
            <w:r w:rsidRPr="008C504A">
              <w:rPr>
                <w:color w:val="000000"/>
                <w:sz w:val="22"/>
                <w:szCs w:val="22"/>
                <w:lang w:eastAsia="en-GB"/>
              </w:rPr>
              <w:t>2</w:t>
            </w:r>
            <w:r>
              <w:rPr>
                <w:color w:val="000000"/>
                <w:sz w:val="22"/>
                <w:szCs w:val="22"/>
                <w:lang w:eastAsia="en-GB"/>
              </w:rPr>
              <w:t>65</w:t>
            </w:r>
          </w:p>
        </w:tc>
        <w:tc>
          <w:tcPr>
            <w:tcW w:w="2503" w:type="dxa"/>
            <w:tcBorders>
              <w:top w:val="nil"/>
              <w:left w:val="nil"/>
              <w:bottom w:val="single" w:sz="4" w:space="0" w:color="auto"/>
              <w:right w:val="single" w:sz="4" w:space="0" w:color="auto"/>
            </w:tcBorders>
            <w:shd w:val="clear" w:color="auto" w:fill="auto"/>
            <w:noWrap/>
            <w:vAlign w:val="center"/>
            <w:hideMark/>
          </w:tcPr>
          <w:p w14:paraId="7C07A544" w14:textId="77777777" w:rsidR="00B816BF" w:rsidRPr="008C504A" w:rsidRDefault="00B816BF" w:rsidP="00890082">
            <w:pPr>
              <w:jc w:val="center"/>
              <w:rPr>
                <w:color w:val="000000"/>
                <w:sz w:val="22"/>
                <w:szCs w:val="22"/>
                <w:lang w:eastAsia="en-GB"/>
              </w:rPr>
            </w:pPr>
            <w:r>
              <w:rPr>
                <w:color w:val="000000"/>
                <w:sz w:val="22"/>
                <w:szCs w:val="22"/>
                <w:lang w:eastAsia="en-GB"/>
              </w:rPr>
              <w:t>2.0</w:t>
            </w:r>
            <w:r w:rsidRPr="008C504A">
              <w:rPr>
                <w:color w:val="000000"/>
                <w:sz w:val="22"/>
                <w:szCs w:val="22"/>
                <w:lang w:eastAsia="en-GB"/>
              </w:rPr>
              <w:t>%</w:t>
            </w:r>
          </w:p>
        </w:tc>
      </w:tr>
      <w:tr w:rsidR="00B816BF" w:rsidRPr="008C504A" w14:paraId="62F947D4" w14:textId="77777777" w:rsidTr="00890082">
        <w:trPr>
          <w:trHeight w:val="315"/>
        </w:trPr>
        <w:tc>
          <w:tcPr>
            <w:tcW w:w="2319" w:type="dxa"/>
            <w:tcBorders>
              <w:top w:val="nil"/>
              <w:left w:val="single" w:sz="4" w:space="0" w:color="auto"/>
              <w:bottom w:val="double" w:sz="6" w:space="0" w:color="auto"/>
              <w:right w:val="single" w:sz="4" w:space="0" w:color="auto"/>
            </w:tcBorders>
            <w:shd w:val="clear" w:color="auto" w:fill="auto"/>
            <w:noWrap/>
            <w:vAlign w:val="center"/>
            <w:hideMark/>
          </w:tcPr>
          <w:p w14:paraId="0582138D" w14:textId="77777777" w:rsidR="00B816BF" w:rsidRPr="008C504A" w:rsidRDefault="00B816BF" w:rsidP="00890082">
            <w:pPr>
              <w:rPr>
                <w:color w:val="000000"/>
                <w:sz w:val="22"/>
                <w:szCs w:val="22"/>
                <w:lang w:eastAsia="en-GB"/>
              </w:rPr>
            </w:pPr>
            <w:r w:rsidRPr="008C504A">
              <w:rPr>
                <w:color w:val="000000"/>
                <w:sz w:val="22"/>
                <w:szCs w:val="22"/>
                <w:lang w:eastAsia="en-GB"/>
              </w:rPr>
              <w:t>Hatch End</w:t>
            </w:r>
          </w:p>
        </w:tc>
        <w:tc>
          <w:tcPr>
            <w:tcW w:w="2148" w:type="dxa"/>
            <w:tcBorders>
              <w:top w:val="nil"/>
              <w:left w:val="nil"/>
              <w:bottom w:val="double" w:sz="6" w:space="0" w:color="auto"/>
              <w:right w:val="single" w:sz="4" w:space="0" w:color="auto"/>
            </w:tcBorders>
            <w:shd w:val="clear" w:color="auto" w:fill="auto"/>
            <w:noWrap/>
            <w:vAlign w:val="center"/>
            <w:hideMark/>
          </w:tcPr>
          <w:p w14:paraId="6A34AC56" w14:textId="77777777" w:rsidR="00B816BF" w:rsidRPr="008C504A" w:rsidRDefault="00B816BF" w:rsidP="00890082">
            <w:pPr>
              <w:jc w:val="center"/>
              <w:rPr>
                <w:color w:val="000000"/>
                <w:sz w:val="22"/>
                <w:szCs w:val="22"/>
                <w:lang w:eastAsia="en-GB"/>
              </w:rPr>
            </w:pPr>
            <w:r w:rsidRPr="008C504A">
              <w:rPr>
                <w:color w:val="000000"/>
                <w:sz w:val="22"/>
                <w:szCs w:val="22"/>
                <w:lang w:eastAsia="en-GB"/>
              </w:rPr>
              <w:t>2</w:t>
            </w:r>
            <w:r>
              <w:rPr>
                <w:color w:val="000000"/>
                <w:sz w:val="22"/>
                <w:szCs w:val="22"/>
                <w:lang w:eastAsia="en-GB"/>
              </w:rPr>
              <w:t>32</w:t>
            </w:r>
          </w:p>
        </w:tc>
        <w:tc>
          <w:tcPr>
            <w:tcW w:w="2503" w:type="dxa"/>
            <w:tcBorders>
              <w:top w:val="nil"/>
              <w:left w:val="nil"/>
              <w:bottom w:val="double" w:sz="6" w:space="0" w:color="auto"/>
              <w:right w:val="single" w:sz="4" w:space="0" w:color="auto"/>
            </w:tcBorders>
            <w:shd w:val="clear" w:color="auto" w:fill="auto"/>
            <w:noWrap/>
            <w:vAlign w:val="center"/>
            <w:hideMark/>
          </w:tcPr>
          <w:p w14:paraId="01C44E37" w14:textId="77777777" w:rsidR="00B816BF" w:rsidRPr="008C504A" w:rsidRDefault="00B816BF" w:rsidP="00890082">
            <w:pPr>
              <w:jc w:val="center"/>
              <w:rPr>
                <w:color w:val="000000"/>
                <w:sz w:val="22"/>
                <w:szCs w:val="22"/>
                <w:lang w:eastAsia="en-GB"/>
              </w:rPr>
            </w:pPr>
            <w:r w:rsidRPr="008C504A">
              <w:rPr>
                <w:color w:val="000000"/>
                <w:sz w:val="22"/>
                <w:szCs w:val="22"/>
                <w:lang w:eastAsia="en-GB"/>
              </w:rPr>
              <w:t>1.</w:t>
            </w:r>
            <w:r>
              <w:rPr>
                <w:color w:val="000000"/>
                <w:sz w:val="22"/>
                <w:szCs w:val="22"/>
                <w:lang w:eastAsia="en-GB"/>
              </w:rPr>
              <w:t>7</w:t>
            </w:r>
            <w:r w:rsidRPr="008C504A">
              <w:rPr>
                <w:color w:val="000000"/>
                <w:sz w:val="22"/>
                <w:szCs w:val="22"/>
                <w:lang w:eastAsia="en-GB"/>
              </w:rPr>
              <w:t>%</w:t>
            </w:r>
          </w:p>
        </w:tc>
      </w:tr>
      <w:tr w:rsidR="00B816BF" w:rsidRPr="008C504A" w14:paraId="3A4CE97F" w14:textId="77777777" w:rsidTr="00890082">
        <w:trPr>
          <w:trHeight w:val="315"/>
        </w:trPr>
        <w:tc>
          <w:tcPr>
            <w:tcW w:w="2319" w:type="dxa"/>
            <w:tcBorders>
              <w:top w:val="nil"/>
              <w:left w:val="single" w:sz="4" w:space="0" w:color="auto"/>
              <w:bottom w:val="single" w:sz="4" w:space="0" w:color="auto"/>
              <w:right w:val="single" w:sz="4" w:space="0" w:color="auto"/>
            </w:tcBorders>
            <w:shd w:val="clear" w:color="auto" w:fill="auto"/>
            <w:noWrap/>
            <w:vAlign w:val="center"/>
            <w:hideMark/>
          </w:tcPr>
          <w:p w14:paraId="10458489" w14:textId="77777777" w:rsidR="00B816BF" w:rsidRPr="008C504A" w:rsidRDefault="00B816BF" w:rsidP="00890082">
            <w:pPr>
              <w:rPr>
                <w:b/>
                <w:bCs/>
                <w:color w:val="000000"/>
                <w:sz w:val="22"/>
                <w:szCs w:val="22"/>
                <w:lang w:eastAsia="en-GB"/>
              </w:rPr>
            </w:pPr>
            <w:r w:rsidRPr="008C504A">
              <w:rPr>
                <w:b/>
                <w:bCs/>
                <w:color w:val="000000"/>
                <w:sz w:val="22"/>
                <w:szCs w:val="22"/>
                <w:lang w:eastAsia="en-GB"/>
              </w:rPr>
              <w:t>Harrow wards total</w:t>
            </w:r>
          </w:p>
        </w:tc>
        <w:tc>
          <w:tcPr>
            <w:tcW w:w="2148" w:type="dxa"/>
            <w:tcBorders>
              <w:top w:val="nil"/>
              <w:left w:val="nil"/>
              <w:bottom w:val="single" w:sz="4" w:space="0" w:color="auto"/>
              <w:right w:val="single" w:sz="4" w:space="0" w:color="auto"/>
            </w:tcBorders>
            <w:shd w:val="clear" w:color="auto" w:fill="auto"/>
            <w:noWrap/>
            <w:vAlign w:val="center"/>
            <w:hideMark/>
          </w:tcPr>
          <w:p w14:paraId="55FA3131" w14:textId="77777777" w:rsidR="00B816BF" w:rsidRPr="008C504A" w:rsidRDefault="00B816BF" w:rsidP="00890082">
            <w:pPr>
              <w:jc w:val="center"/>
              <w:rPr>
                <w:b/>
                <w:bCs/>
                <w:color w:val="000000"/>
                <w:sz w:val="22"/>
                <w:szCs w:val="22"/>
                <w:lang w:eastAsia="en-GB"/>
              </w:rPr>
            </w:pPr>
            <w:r w:rsidRPr="008C504A">
              <w:rPr>
                <w:b/>
                <w:bCs/>
                <w:color w:val="000000"/>
                <w:sz w:val="22"/>
                <w:szCs w:val="22"/>
                <w:lang w:eastAsia="en-GB"/>
              </w:rPr>
              <w:t>10</w:t>
            </w:r>
            <w:r>
              <w:rPr>
                <w:b/>
                <w:bCs/>
                <w:color w:val="000000"/>
                <w:sz w:val="22"/>
                <w:szCs w:val="22"/>
                <w:lang w:eastAsia="en-GB"/>
              </w:rPr>
              <w:t>,915</w:t>
            </w:r>
          </w:p>
        </w:tc>
        <w:tc>
          <w:tcPr>
            <w:tcW w:w="2503" w:type="dxa"/>
            <w:tcBorders>
              <w:top w:val="nil"/>
              <w:left w:val="nil"/>
              <w:bottom w:val="single" w:sz="4" w:space="0" w:color="auto"/>
              <w:right w:val="single" w:sz="4" w:space="0" w:color="auto"/>
            </w:tcBorders>
            <w:shd w:val="clear" w:color="auto" w:fill="auto"/>
            <w:noWrap/>
            <w:vAlign w:val="center"/>
            <w:hideMark/>
          </w:tcPr>
          <w:p w14:paraId="7A3E1231" w14:textId="77777777" w:rsidR="00B816BF" w:rsidRPr="008C504A" w:rsidRDefault="00B816BF" w:rsidP="00890082">
            <w:pPr>
              <w:jc w:val="center"/>
              <w:rPr>
                <w:b/>
                <w:bCs/>
                <w:color w:val="000000"/>
                <w:sz w:val="22"/>
                <w:szCs w:val="22"/>
                <w:lang w:eastAsia="en-GB"/>
              </w:rPr>
            </w:pPr>
            <w:r w:rsidRPr="008C504A">
              <w:rPr>
                <w:b/>
                <w:bCs/>
                <w:color w:val="000000"/>
                <w:sz w:val="22"/>
                <w:szCs w:val="22"/>
                <w:lang w:eastAsia="en-GB"/>
              </w:rPr>
              <w:t>81.</w:t>
            </w:r>
            <w:r>
              <w:rPr>
                <w:b/>
                <w:bCs/>
                <w:color w:val="000000"/>
                <w:sz w:val="22"/>
                <w:szCs w:val="22"/>
                <w:lang w:eastAsia="en-GB"/>
              </w:rPr>
              <w:t>5</w:t>
            </w:r>
            <w:r w:rsidRPr="008C504A">
              <w:rPr>
                <w:b/>
                <w:bCs/>
                <w:color w:val="000000"/>
                <w:sz w:val="22"/>
                <w:szCs w:val="22"/>
                <w:lang w:eastAsia="en-GB"/>
              </w:rPr>
              <w:t>%</w:t>
            </w:r>
          </w:p>
        </w:tc>
      </w:tr>
      <w:tr w:rsidR="00B816BF" w:rsidRPr="008C504A" w14:paraId="1AC7A99F" w14:textId="77777777" w:rsidTr="00890082">
        <w:trPr>
          <w:trHeight w:val="300"/>
        </w:trPr>
        <w:tc>
          <w:tcPr>
            <w:tcW w:w="2319" w:type="dxa"/>
            <w:tcBorders>
              <w:top w:val="nil"/>
              <w:left w:val="single" w:sz="4" w:space="0" w:color="auto"/>
              <w:bottom w:val="single" w:sz="4" w:space="0" w:color="auto"/>
              <w:right w:val="single" w:sz="4" w:space="0" w:color="auto"/>
            </w:tcBorders>
            <w:shd w:val="clear" w:color="auto" w:fill="auto"/>
            <w:noWrap/>
            <w:vAlign w:val="center"/>
            <w:hideMark/>
          </w:tcPr>
          <w:p w14:paraId="33A6852E" w14:textId="77777777" w:rsidR="00B816BF" w:rsidRPr="008C504A" w:rsidRDefault="00B816BF" w:rsidP="00890082">
            <w:pPr>
              <w:rPr>
                <w:b/>
                <w:bCs/>
                <w:color w:val="000000"/>
                <w:sz w:val="22"/>
                <w:szCs w:val="22"/>
                <w:lang w:eastAsia="en-GB"/>
              </w:rPr>
            </w:pPr>
            <w:r w:rsidRPr="008C504A">
              <w:rPr>
                <w:b/>
                <w:bCs/>
                <w:color w:val="000000"/>
                <w:sz w:val="22"/>
                <w:szCs w:val="22"/>
                <w:lang w:eastAsia="en-GB"/>
              </w:rPr>
              <w:t>Out of Borough</w:t>
            </w:r>
          </w:p>
        </w:tc>
        <w:tc>
          <w:tcPr>
            <w:tcW w:w="2148" w:type="dxa"/>
            <w:tcBorders>
              <w:top w:val="nil"/>
              <w:left w:val="nil"/>
              <w:bottom w:val="single" w:sz="4" w:space="0" w:color="auto"/>
              <w:right w:val="single" w:sz="4" w:space="0" w:color="auto"/>
            </w:tcBorders>
            <w:shd w:val="clear" w:color="auto" w:fill="auto"/>
            <w:noWrap/>
            <w:vAlign w:val="center"/>
            <w:hideMark/>
          </w:tcPr>
          <w:p w14:paraId="164FF999" w14:textId="77777777" w:rsidR="00B816BF" w:rsidRPr="008C504A" w:rsidRDefault="00B816BF" w:rsidP="00890082">
            <w:pPr>
              <w:jc w:val="center"/>
              <w:rPr>
                <w:b/>
                <w:bCs/>
                <w:color w:val="000000"/>
                <w:sz w:val="22"/>
                <w:szCs w:val="22"/>
                <w:lang w:eastAsia="en-GB"/>
              </w:rPr>
            </w:pPr>
            <w:r w:rsidRPr="008C504A">
              <w:rPr>
                <w:b/>
                <w:bCs/>
                <w:color w:val="000000"/>
                <w:sz w:val="22"/>
                <w:szCs w:val="22"/>
                <w:lang w:eastAsia="en-GB"/>
              </w:rPr>
              <w:t>2</w:t>
            </w:r>
            <w:r>
              <w:rPr>
                <w:b/>
                <w:bCs/>
                <w:color w:val="000000"/>
                <w:sz w:val="22"/>
                <w:szCs w:val="22"/>
                <w:lang w:eastAsia="en-GB"/>
              </w:rPr>
              <w:t>,</w:t>
            </w:r>
            <w:r w:rsidRPr="008C504A">
              <w:rPr>
                <w:b/>
                <w:bCs/>
                <w:color w:val="000000"/>
                <w:sz w:val="22"/>
                <w:szCs w:val="22"/>
                <w:lang w:eastAsia="en-GB"/>
              </w:rPr>
              <w:t>4</w:t>
            </w:r>
            <w:r>
              <w:rPr>
                <w:b/>
                <w:bCs/>
                <w:color w:val="000000"/>
                <w:sz w:val="22"/>
                <w:szCs w:val="22"/>
                <w:lang w:eastAsia="en-GB"/>
              </w:rPr>
              <w:t>78</w:t>
            </w:r>
          </w:p>
        </w:tc>
        <w:tc>
          <w:tcPr>
            <w:tcW w:w="2503" w:type="dxa"/>
            <w:tcBorders>
              <w:top w:val="nil"/>
              <w:left w:val="nil"/>
              <w:bottom w:val="single" w:sz="4" w:space="0" w:color="auto"/>
              <w:right w:val="single" w:sz="4" w:space="0" w:color="auto"/>
            </w:tcBorders>
            <w:shd w:val="clear" w:color="auto" w:fill="auto"/>
            <w:noWrap/>
            <w:vAlign w:val="center"/>
            <w:hideMark/>
          </w:tcPr>
          <w:p w14:paraId="15272BCA" w14:textId="77777777" w:rsidR="00B816BF" w:rsidRPr="008C504A" w:rsidRDefault="00B816BF" w:rsidP="00890082">
            <w:pPr>
              <w:jc w:val="center"/>
              <w:rPr>
                <w:b/>
                <w:bCs/>
                <w:color w:val="000000"/>
                <w:sz w:val="22"/>
                <w:szCs w:val="22"/>
                <w:lang w:eastAsia="en-GB"/>
              </w:rPr>
            </w:pPr>
            <w:r w:rsidRPr="008C504A">
              <w:rPr>
                <w:b/>
                <w:bCs/>
                <w:color w:val="000000"/>
                <w:sz w:val="22"/>
                <w:szCs w:val="22"/>
                <w:lang w:eastAsia="en-GB"/>
              </w:rPr>
              <w:t>1</w:t>
            </w:r>
            <w:r>
              <w:rPr>
                <w:b/>
                <w:bCs/>
                <w:color w:val="000000"/>
                <w:sz w:val="22"/>
                <w:szCs w:val="22"/>
                <w:lang w:eastAsia="en-GB"/>
              </w:rPr>
              <w:t>8</w:t>
            </w:r>
            <w:r w:rsidRPr="008C504A">
              <w:rPr>
                <w:b/>
                <w:bCs/>
                <w:color w:val="000000"/>
                <w:sz w:val="22"/>
                <w:szCs w:val="22"/>
                <w:lang w:eastAsia="en-GB"/>
              </w:rPr>
              <w:t>.</w:t>
            </w:r>
            <w:r>
              <w:rPr>
                <w:b/>
                <w:bCs/>
                <w:color w:val="000000"/>
                <w:sz w:val="22"/>
                <w:szCs w:val="22"/>
                <w:lang w:eastAsia="en-GB"/>
              </w:rPr>
              <w:t>5</w:t>
            </w:r>
            <w:r w:rsidRPr="008C504A">
              <w:rPr>
                <w:b/>
                <w:bCs/>
                <w:color w:val="000000"/>
                <w:sz w:val="22"/>
                <w:szCs w:val="22"/>
                <w:lang w:eastAsia="en-GB"/>
              </w:rPr>
              <w:t>%</w:t>
            </w:r>
          </w:p>
        </w:tc>
      </w:tr>
      <w:tr w:rsidR="00B816BF" w:rsidRPr="008C504A" w14:paraId="77CDEF7F" w14:textId="77777777" w:rsidTr="00890082">
        <w:trPr>
          <w:trHeight w:val="300"/>
        </w:trPr>
        <w:tc>
          <w:tcPr>
            <w:tcW w:w="2319" w:type="dxa"/>
            <w:tcBorders>
              <w:top w:val="nil"/>
              <w:left w:val="single" w:sz="4" w:space="0" w:color="auto"/>
              <w:bottom w:val="single" w:sz="4" w:space="0" w:color="auto"/>
              <w:right w:val="single" w:sz="4" w:space="0" w:color="auto"/>
            </w:tcBorders>
            <w:shd w:val="clear" w:color="auto" w:fill="auto"/>
            <w:noWrap/>
            <w:vAlign w:val="center"/>
            <w:hideMark/>
          </w:tcPr>
          <w:p w14:paraId="78C2E5F1" w14:textId="77777777" w:rsidR="00B816BF" w:rsidRPr="008C504A" w:rsidRDefault="00B816BF" w:rsidP="00890082">
            <w:pPr>
              <w:rPr>
                <w:b/>
                <w:bCs/>
                <w:color w:val="000000"/>
                <w:sz w:val="22"/>
                <w:szCs w:val="22"/>
                <w:lang w:eastAsia="en-GB"/>
              </w:rPr>
            </w:pPr>
            <w:r w:rsidRPr="008C504A">
              <w:rPr>
                <w:b/>
                <w:bCs/>
                <w:color w:val="000000"/>
                <w:sz w:val="22"/>
                <w:szCs w:val="22"/>
                <w:lang w:eastAsia="en-GB"/>
              </w:rPr>
              <w:t>Grand Total</w:t>
            </w:r>
          </w:p>
        </w:tc>
        <w:tc>
          <w:tcPr>
            <w:tcW w:w="2148" w:type="dxa"/>
            <w:tcBorders>
              <w:top w:val="nil"/>
              <w:left w:val="nil"/>
              <w:bottom w:val="single" w:sz="4" w:space="0" w:color="auto"/>
              <w:right w:val="single" w:sz="4" w:space="0" w:color="auto"/>
            </w:tcBorders>
            <w:shd w:val="clear" w:color="auto" w:fill="auto"/>
            <w:noWrap/>
            <w:vAlign w:val="center"/>
            <w:hideMark/>
          </w:tcPr>
          <w:p w14:paraId="67FC3CB1" w14:textId="77777777" w:rsidR="00B816BF" w:rsidRPr="008C504A" w:rsidRDefault="00B816BF" w:rsidP="00890082">
            <w:pPr>
              <w:jc w:val="center"/>
              <w:rPr>
                <w:b/>
                <w:bCs/>
                <w:color w:val="000000"/>
                <w:sz w:val="22"/>
                <w:szCs w:val="22"/>
                <w:lang w:eastAsia="en-GB"/>
              </w:rPr>
            </w:pPr>
            <w:r w:rsidRPr="008C504A">
              <w:rPr>
                <w:b/>
                <w:bCs/>
                <w:color w:val="000000"/>
                <w:sz w:val="22"/>
                <w:szCs w:val="22"/>
                <w:lang w:eastAsia="en-GB"/>
              </w:rPr>
              <w:t>13</w:t>
            </w:r>
            <w:r>
              <w:rPr>
                <w:b/>
                <w:bCs/>
                <w:color w:val="000000"/>
                <w:sz w:val="22"/>
                <w:szCs w:val="22"/>
                <w:lang w:eastAsia="en-GB"/>
              </w:rPr>
              <w:t>,393</w:t>
            </w:r>
          </w:p>
        </w:tc>
        <w:tc>
          <w:tcPr>
            <w:tcW w:w="2503" w:type="dxa"/>
            <w:tcBorders>
              <w:top w:val="nil"/>
              <w:left w:val="nil"/>
              <w:bottom w:val="single" w:sz="4" w:space="0" w:color="auto"/>
              <w:right w:val="single" w:sz="4" w:space="0" w:color="auto"/>
            </w:tcBorders>
            <w:shd w:val="clear" w:color="auto" w:fill="auto"/>
            <w:noWrap/>
            <w:vAlign w:val="center"/>
            <w:hideMark/>
          </w:tcPr>
          <w:p w14:paraId="52B1531A" w14:textId="77777777" w:rsidR="00B816BF" w:rsidRPr="008C504A" w:rsidRDefault="00B816BF" w:rsidP="00890082">
            <w:pPr>
              <w:jc w:val="center"/>
              <w:rPr>
                <w:b/>
                <w:bCs/>
                <w:color w:val="000000"/>
                <w:sz w:val="22"/>
                <w:szCs w:val="22"/>
                <w:lang w:eastAsia="en-GB"/>
              </w:rPr>
            </w:pPr>
            <w:r w:rsidRPr="008C504A">
              <w:rPr>
                <w:b/>
                <w:bCs/>
                <w:color w:val="000000"/>
                <w:sz w:val="22"/>
                <w:szCs w:val="22"/>
                <w:lang w:eastAsia="en-GB"/>
              </w:rPr>
              <w:t>100.0%</w:t>
            </w:r>
          </w:p>
        </w:tc>
      </w:tr>
    </w:tbl>
    <w:p w14:paraId="3269E049" w14:textId="77777777" w:rsidR="00B816BF" w:rsidRPr="00B7014C" w:rsidRDefault="00B816BF" w:rsidP="00B816BF">
      <w:pPr>
        <w:rPr>
          <w:sz w:val="22"/>
          <w:szCs w:val="22"/>
        </w:rPr>
      </w:pPr>
      <w:r w:rsidRPr="00B7014C">
        <w:rPr>
          <w:sz w:val="22"/>
          <w:szCs w:val="22"/>
        </w:rPr>
        <w:t>Source – January 20</w:t>
      </w:r>
      <w:r>
        <w:rPr>
          <w:sz w:val="22"/>
          <w:szCs w:val="22"/>
        </w:rPr>
        <w:t>23</w:t>
      </w:r>
      <w:r w:rsidRPr="00B7014C">
        <w:rPr>
          <w:sz w:val="22"/>
          <w:szCs w:val="22"/>
        </w:rPr>
        <w:t xml:space="preserve"> School Census. NB special schools not included.</w:t>
      </w:r>
    </w:p>
    <w:p w14:paraId="46CA0C32" w14:textId="77777777" w:rsidR="00A16979" w:rsidRPr="002822D7" w:rsidRDefault="00A16979" w:rsidP="00A16979">
      <w:pPr>
        <w:rPr>
          <w:sz w:val="22"/>
          <w:szCs w:val="22"/>
        </w:rPr>
      </w:pPr>
    </w:p>
    <w:p w14:paraId="1601BEB4" w14:textId="77777777" w:rsidR="00891B46" w:rsidRDefault="00891B46" w:rsidP="00891B46">
      <w:pPr>
        <w:rPr>
          <w:b/>
        </w:rPr>
      </w:pPr>
      <w:r w:rsidRPr="000D1EEE">
        <w:rPr>
          <w:b/>
        </w:rPr>
        <w:t>Residence of Year 7 pupils</w:t>
      </w:r>
    </w:p>
    <w:p w14:paraId="7A8B3398" w14:textId="60B160F8" w:rsidR="00A16979" w:rsidRDefault="00891B46" w:rsidP="00891B46">
      <w:r w:rsidRPr="00173E90">
        <w:t xml:space="preserve">As </w:t>
      </w:r>
      <w:proofErr w:type="gramStart"/>
      <w:r w:rsidRPr="00173E90">
        <w:t>at</w:t>
      </w:r>
      <w:proofErr w:type="gramEnd"/>
      <w:r w:rsidRPr="00173E90">
        <w:t xml:space="preserve"> January 202</w:t>
      </w:r>
      <w:r>
        <w:t>3</w:t>
      </w:r>
      <w:r w:rsidRPr="00173E90">
        <w:t xml:space="preserve"> there are 2,6</w:t>
      </w:r>
      <w:r>
        <w:t>67</w:t>
      </w:r>
      <w:r w:rsidRPr="00173E90">
        <w:t xml:space="preserve"> (2,6</w:t>
      </w:r>
      <w:r>
        <w:t>3</w:t>
      </w:r>
      <w:r w:rsidRPr="00173E90">
        <w:t>3 in 202</w:t>
      </w:r>
      <w:r>
        <w:t>2</w:t>
      </w:r>
      <w:r w:rsidRPr="00173E90">
        <w:t>) pupils on roll in Year 7, of these pupils 4</w:t>
      </w:r>
      <w:r>
        <w:t>40</w:t>
      </w:r>
      <w:r w:rsidRPr="00173E90">
        <w:t xml:space="preserve"> </w:t>
      </w:r>
      <w:r>
        <w:t xml:space="preserve">(478 in 2022) </w:t>
      </w:r>
      <w:r w:rsidRPr="00173E90">
        <w:t>live in Harrow’s neighbouring boroughs</w:t>
      </w:r>
      <w:r>
        <w:t xml:space="preserve"> - </w:t>
      </w:r>
      <w:r w:rsidRPr="00173E90">
        <w:t>1</w:t>
      </w:r>
      <w:r>
        <w:t>28</w:t>
      </w:r>
      <w:r w:rsidRPr="00173E90">
        <w:t xml:space="preserve"> </w:t>
      </w:r>
      <w:r>
        <w:t xml:space="preserve">(150 - 2022) </w:t>
      </w:r>
      <w:r w:rsidRPr="00173E90">
        <w:t>in Brent, 9</w:t>
      </w:r>
      <w:r>
        <w:t>5</w:t>
      </w:r>
      <w:r w:rsidRPr="00173E90">
        <w:t xml:space="preserve"> </w:t>
      </w:r>
      <w:r>
        <w:t xml:space="preserve">(93 - 2022) </w:t>
      </w:r>
      <w:r w:rsidRPr="00173E90">
        <w:t xml:space="preserve">in Ealing, </w:t>
      </w:r>
      <w:r>
        <w:t>8</w:t>
      </w:r>
      <w:r w:rsidRPr="00173E90">
        <w:t>3 in Hertfordshire</w:t>
      </w:r>
      <w:r>
        <w:t xml:space="preserve"> (73 in 2022)</w:t>
      </w:r>
      <w:r w:rsidRPr="00173E90">
        <w:t>,</w:t>
      </w:r>
      <w:r>
        <w:t xml:space="preserve"> 67</w:t>
      </w:r>
      <w:r w:rsidRPr="00173E90">
        <w:t xml:space="preserve"> </w:t>
      </w:r>
      <w:r>
        <w:t xml:space="preserve">(83 – 2022) </w:t>
      </w:r>
      <w:r w:rsidRPr="00173E90">
        <w:t>in Hillingdon, 6</w:t>
      </w:r>
      <w:r>
        <w:t>3</w:t>
      </w:r>
      <w:r w:rsidRPr="00173E90">
        <w:t xml:space="preserve"> </w:t>
      </w:r>
      <w:r>
        <w:t xml:space="preserve">(69 – 2022) </w:t>
      </w:r>
      <w:r w:rsidRPr="00173E90">
        <w:t xml:space="preserve">in Barnet and </w:t>
      </w:r>
      <w:r>
        <w:t>4</w:t>
      </w:r>
      <w:r w:rsidRPr="00173E90">
        <w:t xml:space="preserve"> in other LAs.</w:t>
      </w:r>
    </w:p>
    <w:p w14:paraId="0FE1F877" w14:textId="77777777" w:rsidR="00891B46" w:rsidRPr="002822D7" w:rsidRDefault="00891B46" w:rsidP="00891B46"/>
    <w:p w14:paraId="4BBC5BA6" w14:textId="77777777" w:rsidR="00847FF6" w:rsidRPr="00B7014C" w:rsidRDefault="00847FF6" w:rsidP="00847FF6">
      <w:pPr>
        <w:rPr>
          <w:b/>
        </w:rPr>
      </w:pPr>
      <w:r w:rsidRPr="001F1D4B">
        <w:rPr>
          <w:b/>
        </w:rPr>
        <w:t>DfE Secondary Cross Border Movement</w:t>
      </w:r>
    </w:p>
    <w:p w14:paraId="1414BAFC" w14:textId="77777777" w:rsidR="00847FF6" w:rsidRDefault="00847FF6" w:rsidP="00847FF6">
      <w:pPr>
        <w:pStyle w:val="ListParagraph"/>
        <w:ind w:left="360"/>
      </w:pPr>
    </w:p>
    <w:p w14:paraId="7A561A8D" w14:textId="77777777" w:rsidR="00847FF6" w:rsidRDefault="00847FF6" w:rsidP="00847FF6">
      <w:pPr>
        <w:pStyle w:val="ListParagraph"/>
        <w:numPr>
          <w:ilvl w:val="0"/>
          <w:numId w:val="8"/>
        </w:numPr>
      </w:pPr>
      <w:r w:rsidRPr="00B7014C">
        <w:t xml:space="preserve">As </w:t>
      </w:r>
      <w:proofErr w:type="gramStart"/>
      <w:r w:rsidRPr="00B7014C">
        <w:t>at</w:t>
      </w:r>
      <w:proofErr w:type="gramEnd"/>
      <w:r w:rsidRPr="00B7014C">
        <w:t xml:space="preserve"> January 202</w:t>
      </w:r>
      <w:r>
        <w:t>2</w:t>
      </w:r>
      <w:r w:rsidRPr="00B7014C">
        <w:t xml:space="preserve"> the number of secondary age pupils exported from Harrow was 3,6</w:t>
      </w:r>
      <w:r>
        <w:t>62</w:t>
      </w:r>
      <w:r w:rsidRPr="00B7014C">
        <w:t xml:space="preserve"> (January 20</w:t>
      </w:r>
      <w:r>
        <w:t>21</w:t>
      </w:r>
      <w:r w:rsidRPr="00B7014C">
        <w:t xml:space="preserve"> – 3,</w:t>
      </w:r>
      <w:r>
        <w:t>648</w:t>
      </w:r>
      <w:r w:rsidRPr="00B7014C">
        <w:t>)</w:t>
      </w:r>
      <w:r>
        <w:t>.</w:t>
      </w:r>
    </w:p>
    <w:p w14:paraId="54459E97" w14:textId="77777777" w:rsidR="00847FF6" w:rsidRDefault="00847FF6" w:rsidP="00847FF6">
      <w:pPr>
        <w:pStyle w:val="ListParagraph"/>
        <w:numPr>
          <w:ilvl w:val="0"/>
          <w:numId w:val="8"/>
        </w:numPr>
      </w:pPr>
      <w:r>
        <w:t>T</w:t>
      </w:r>
      <w:r w:rsidRPr="00B7014C">
        <w:t>he number imported into Harrow’s high schools was 2,</w:t>
      </w:r>
      <w:r>
        <w:t>514</w:t>
      </w:r>
      <w:r w:rsidRPr="00B7014C">
        <w:t xml:space="preserve"> (January 20</w:t>
      </w:r>
      <w:r>
        <w:t>21</w:t>
      </w:r>
      <w:r w:rsidRPr="00B7014C">
        <w:t xml:space="preserve"> – 2,</w:t>
      </w:r>
      <w:r>
        <w:t>512</w:t>
      </w:r>
      <w:r w:rsidRPr="00B7014C">
        <w:t>)</w:t>
      </w:r>
      <w:r>
        <w:t xml:space="preserve">. </w:t>
      </w:r>
    </w:p>
    <w:p w14:paraId="0DE1DB01" w14:textId="77777777" w:rsidR="00847FF6" w:rsidRPr="00B7014C" w:rsidRDefault="00847FF6" w:rsidP="00847FF6">
      <w:pPr>
        <w:pStyle w:val="ListParagraph"/>
        <w:numPr>
          <w:ilvl w:val="0"/>
          <w:numId w:val="8"/>
        </w:numPr>
      </w:pPr>
      <w:r>
        <w:t>R</w:t>
      </w:r>
      <w:r w:rsidRPr="00B7014C">
        <w:t>esulting in a loss of 1,1</w:t>
      </w:r>
      <w:r>
        <w:t>48</w:t>
      </w:r>
      <w:r w:rsidRPr="00B7014C">
        <w:t xml:space="preserve"> pupils (January 20</w:t>
      </w:r>
      <w:r>
        <w:t>21</w:t>
      </w:r>
      <w:r w:rsidRPr="00B7014C">
        <w:t xml:space="preserve"> – 1,</w:t>
      </w:r>
      <w:r>
        <w:t>136</w:t>
      </w:r>
      <w:r w:rsidRPr="00B7014C">
        <w:t>)</w:t>
      </w:r>
      <w:r>
        <w:t xml:space="preserve">, which </w:t>
      </w:r>
      <w:r w:rsidRPr="00B7014C">
        <w:t xml:space="preserve">is lower than the loss in </w:t>
      </w:r>
      <w:r>
        <w:t>previous years, for example a loss of 1</w:t>
      </w:r>
      <w:r w:rsidRPr="00B7014C">
        <w:t xml:space="preserve">,554 </w:t>
      </w:r>
      <w:r>
        <w:t>pupils</w:t>
      </w:r>
      <w:r w:rsidRPr="00B7014C">
        <w:t xml:space="preserve"> in January 2015.    </w:t>
      </w:r>
    </w:p>
    <w:p w14:paraId="2C9B682B" w14:textId="77777777" w:rsidR="00847FF6" w:rsidRPr="00B7014C" w:rsidRDefault="00847FF6" w:rsidP="00847FF6"/>
    <w:p w14:paraId="60F7F2F1" w14:textId="77777777" w:rsidR="00847FF6" w:rsidRPr="00B7014C" w:rsidRDefault="00847FF6" w:rsidP="00847FF6">
      <w:r w:rsidRPr="00B7014C">
        <w:t xml:space="preserve">The table below shows where Harrow’s resident pupils have gone to high schools outside of the borough over the last </w:t>
      </w:r>
      <w:r>
        <w:t>five</w:t>
      </w:r>
      <w:r w:rsidRPr="00B7014C">
        <w:t xml:space="preserve"> years.</w:t>
      </w:r>
    </w:p>
    <w:p w14:paraId="232FDFAB" w14:textId="77777777" w:rsidR="00847FF6" w:rsidRDefault="00847FF6" w:rsidP="00847FF6">
      <w:r w:rsidRPr="00B7014C">
        <w:t xml:space="preserve"> </w:t>
      </w:r>
    </w:p>
    <w:p w14:paraId="7EA46DF9" w14:textId="77777777" w:rsidR="00847FF6" w:rsidRPr="00B7014C" w:rsidRDefault="00847FF6" w:rsidP="00847FF6">
      <w:r w:rsidRPr="00B7014C">
        <w:t xml:space="preserve">Table </w:t>
      </w:r>
      <w:r>
        <w:t>31</w:t>
      </w:r>
      <w:r w:rsidRPr="00B7014C">
        <w:t>: Harrow’s resident pupils attending high schools in other boroughs</w:t>
      </w:r>
    </w:p>
    <w:tbl>
      <w:tblPr>
        <w:tblW w:w="5000" w:type="pct"/>
        <w:tblLook w:val="04A0" w:firstRow="1" w:lastRow="0" w:firstColumn="1" w:lastColumn="0" w:noHBand="0" w:noVBand="1"/>
      </w:tblPr>
      <w:tblGrid>
        <w:gridCol w:w="4286"/>
        <w:gridCol w:w="980"/>
        <w:gridCol w:w="980"/>
        <w:gridCol w:w="980"/>
        <w:gridCol w:w="986"/>
        <w:gridCol w:w="988"/>
        <w:gridCol w:w="984"/>
      </w:tblGrid>
      <w:tr w:rsidR="00847FF6" w:rsidRPr="00B7014C" w14:paraId="442CF398" w14:textId="77777777" w:rsidTr="00890082">
        <w:trPr>
          <w:trHeight w:val="330"/>
        </w:trPr>
        <w:tc>
          <w:tcPr>
            <w:tcW w:w="2105" w:type="pct"/>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051BD4E8" w14:textId="77777777" w:rsidR="00847FF6" w:rsidRPr="00B7014C" w:rsidRDefault="00847FF6" w:rsidP="00890082">
            <w:pPr>
              <w:rPr>
                <w:b/>
                <w:bCs/>
                <w:color w:val="000000"/>
                <w:sz w:val="22"/>
                <w:szCs w:val="22"/>
                <w:lang w:eastAsia="en-GB"/>
              </w:rPr>
            </w:pPr>
            <w:r w:rsidRPr="00B7014C">
              <w:rPr>
                <w:b/>
                <w:bCs/>
                <w:color w:val="000000"/>
                <w:sz w:val="22"/>
                <w:szCs w:val="22"/>
                <w:lang w:eastAsia="en-GB"/>
              </w:rPr>
              <w:lastRenderedPageBreak/>
              <w:t>High School LA</w:t>
            </w:r>
          </w:p>
        </w:tc>
        <w:tc>
          <w:tcPr>
            <w:tcW w:w="2895" w:type="pct"/>
            <w:gridSpan w:val="6"/>
            <w:tcBorders>
              <w:top w:val="single" w:sz="8" w:space="0" w:color="auto"/>
              <w:left w:val="nil"/>
              <w:bottom w:val="single" w:sz="8" w:space="0" w:color="auto"/>
              <w:right w:val="single" w:sz="8" w:space="0" w:color="000000"/>
            </w:tcBorders>
            <w:shd w:val="clear" w:color="auto" w:fill="auto"/>
            <w:vAlign w:val="center"/>
            <w:hideMark/>
          </w:tcPr>
          <w:p w14:paraId="17C38E0B" w14:textId="77777777" w:rsidR="00847FF6" w:rsidRPr="00B7014C" w:rsidRDefault="00847FF6" w:rsidP="00890082">
            <w:pPr>
              <w:jc w:val="center"/>
              <w:rPr>
                <w:b/>
                <w:bCs/>
                <w:color w:val="000000"/>
                <w:sz w:val="22"/>
                <w:szCs w:val="22"/>
                <w:lang w:eastAsia="en-GB"/>
              </w:rPr>
            </w:pPr>
            <w:r w:rsidRPr="00B7014C">
              <w:rPr>
                <w:b/>
                <w:bCs/>
                <w:color w:val="000000"/>
                <w:sz w:val="22"/>
                <w:szCs w:val="22"/>
                <w:lang w:eastAsia="en-GB"/>
              </w:rPr>
              <w:t>Pupil residents of Harrow</w:t>
            </w:r>
          </w:p>
        </w:tc>
      </w:tr>
      <w:tr w:rsidR="00847FF6" w:rsidRPr="00B7014C" w14:paraId="5C61D667" w14:textId="77777777" w:rsidTr="00890082">
        <w:trPr>
          <w:trHeight w:val="330"/>
        </w:trPr>
        <w:tc>
          <w:tcPr>
            <w:tcW w:w="2105" w:type="pct"/>
            <w:vMerge/>
            <w:tcBorders>
              <w:top w:val="single" w:sz="8" w:space="0" w:color="auto"/>
              <w:left w:val="single" w:sz="8" w:space="0" w:color="auto"/>
              <w:bottom w:val="single" w:sz="8" w:space="0" w:color="000000"/>
              <w:right w:val="single" w:sz="8" w:space="0" w:color="auto"/>
            </w:tcBorders>
            <w:vAlign w:val="center"/>
            <w:hideMark/>
          </w:tcPr>
          <w:p w14:paraId="0B89DF85" w14:textId="77777777" w:rsidR="00847FF6" w:rsidRPr="00B7014C" w:rsidRDefault="00847FF6" w:rsidP="00890082">
            <w:pPr>
              <w:rPr>
                <w:b/>
                <w:bCs/>
                <w:color w:val="000000"/>
                <w:sz w:val="22"/>
                <w:szCs w:val="22"/>
                <w:lang w:eastAsia="en-GB"/>
              </w:rPr>
            </w:pPr>
          </w:p>
        </w:tc>
        <w:tc>
          <w:tcPr>
            <w:tcW w:w="481" w:type="pct"/>
            <w:tcBorders>
              <w:top w:val="nil"/>
              <w:left w:val="nil"/>
              <w:bottom w:val="single" w:sz="8" w:space="0" w:color="auto"/>
              <w:right w:val="single" w:sz="8" w:space="0" w:color="auto"/>
            </w:tcBorders>
            <w:shd w:val="clear" w:color="auto" w:fill="auto"/>
            <w:noWrap/>
            <w:vAlign w:val="center"/>
            <w:hideMark/>
          </w:tcPr>
          <w:p w14:paraId="4350A7DD" w14:textId="77777777" w:rsidR="00847FF6" w:rsidRPr="00B7014C" w:rsidRDefault="00847FF6" w:rsidP="00890082">
            <w:pPr>
              <w:jc w:val="center"/>
              <w:rPr>
                <w:b/>
                <w:bCs/>
                <w:color w:val="000000"/>
                <w:sz w:val="22"/>
                <w:szCs w:val="22"/>
                <w:lang w:eastAsia="en-GB"/>
              </w:rPr>
            </w:pPr>
            <w:r w:rsidRPr="00B7014C">
              <w:rPr>
                <w:b/>
                <w:bCs/>
                <w:color w:val="000000"/>
                <w:sz w:val="22"/>
                <w:szCs w:val="22"/>
                <w:lang w:eastAsia="en-GB"/>
              </w:rPr>
              <w:t>Jan-17</w:t>
            </w:r>
          </w:p>
        </w:tc>
        <w:tc>
          <w:tcPr>
            <w:tcW w:w="481" w:type="pct"/>
            <w:tcBorders>
              <w:top w:val="nil"/>
              <w:left w:val="nil"/>
              <w:bottom w:val="single" w:sz="8" w:space="0" w:color="auto"/>
              <w:right w:val="single" w:sz="8" w:space="0" w:color="auto"/>
            </w:tcBorders>
            <w:shd w:val="clear" w:color="auto" w:fill="auto"/>
            <w:noWrap/>
            <w:vAlign w:val="center"/>
            <w:hideMark/>
          </w:tcPr>
          <w:p w14:paraId="0844AC1F" w14:textId="77777777" w:rsidR="00847FF6" w:rsidRPr="00B7014C" w:rsidRDefault="00847FF6" w:rsidP="00890082">
            <w:pPr>
              <w:jc w:val="center"/>
              <w:rPr>
                <w:b/>
                <w:bCs/>
                <w:color w:val="000000"/>
                <w:sz w:val="22"/>
                <w:szCs w:val="22"/>
                <w:lang w:eastAsia="en-GB"/>
              </w:rPr>
            </w:pPr>
            <w:r w:rsidRPr="00B7014C">
              <w:rPr>
                <w:b/>
                <w:bCs/>
                <w:color w:val="000000"/>
                <w:sz w:val="22"/>
                <w:szCs w:val="22"/>
                <w:lang w:eastAsia="en-GB"/>
              </w:rPr>
              <w:t>Jan-18</w:t>
            </w:r>
          </w:p>
        </w:tc>
        <w:tc>
          <w:tcPr>
            <w:tcW w:w="481" w:type="pct"/>
            <w:tcBorders>
              <w:top w:val="nil"/>
              <w:left w:val="nil"/>
              <w:bottom w:val="single" w:sz="8" w:space="0" w:color="auto"/>
              <w:right w:val="single" w:sz="8" w:space="0" w:color="auto"/>
            </w:tcBorders>
            <w:shd w:val="clear" w:color="auto" w:fill="auto"/>
            <w:noWrap/>
            <w:vAlign w:val="center"/>
            <w:hideMark/>
          </w:tcPr>
          <w:p w14:paraId="4D8BC4C7" w14:textId="77777777" w:rsidR="00847FF6" w:rsidRPr="00B7014C" w:rsidRDefault="00847FF6" w:rsidP="00890082">
            <w:pPr>
              <w:jc w:val="center"/>
              <w:rPr>
                <w:b/>
                <w:bCs/>
                <w:color w:val="000000"/>
                <w:sz w:val="22"/>
                <w:szCs w:val="22"/>
                <w:lang w:eastAsia="en-GB"/>
              </w:rPr>
            </w:pPr>
            <w:r w:rsidRPr="00B7014C">
              <w:rPr>
                <w:b/>
                <w:bCs/>
                <w:color w:val="000000"/>
                <w:sz w:val="22"/>
                <w:szCs w:val="22"/>
                <w:lang w:eastAsia="en-GB"/>
              </w:rPr>
              <w:t>Jan-19</w:t>
            </w:r>
          </w:p>
        </w:tc>
        <w:tc>
          <w:tcPr>
            <w:tcW w:w="484" w:type="pct"/>
            <w:tcBorders>
              <w:top w:val="nil"/>
              <w:left w:val="nil"/>
              <w:bottom w:val="single" w:sz="8" w:space="0" w:color="auto"/>
              <w:right w:val="single" w:sz="8" w:space="0" w:color="auto"/>
            </w:tcBorders>
            <w:vAlign w:val="center"/>
          </w:tcPr>
          <w:p w14:paraId="0608E3E2" w14:textId="77777777" w:rsidR="00847FF6" w:rsidRPr="00B7014C" w:rsidRDefault="00847FF6" w:rsidP="00890082">
            <w:pPr>
              <w:jc w:val="center"/>
              <w:rPr>
                <w:b/>
                <w:bCs/>
                <w:color w:val="000000"/>
                <w:sz w:val="22"/>
                <w:szCs w:val="22"/>
                <w:lang w:eastAsia="en-GB"/>
              </w:rPr>
            </w:pPr>
            <w:r w:rsidRPr="00B7014C">
              <w:rPr>
                <w:b/>
                <w:bCs/>
                <w:color w:val="000000"/>
                <w:sz w:val="22"/>
                <w:szCs w:val="22"/>
                <w:lang w:eastAsia="en-GB"/>
              </w:rPr>
              <w:t>Jan-20</w:t>
            </w:r>
          </w:p>
        </w:tc>
        <w:tc>
          <w:tcPr>
            <w:tcW w:w="485" w:type="pct"/>
            <w:tcBorders>
              <w:top w:val="nil"/>
              <w:left w:val="nil"/>
              <w:bottom w:val="single" w:sz="8" w:space="0" w:color="auto"/>
              <w:right w:val="single" w:sz="8" w:space="0" w:color="auto"/>
            </w:tcBorders>
            <w:vAlign w:val="center"/>
          </w:tcPr>
          <w:p w14:paraId="1E1B038F" w14:textId="77777777" w:rsidR="00847FF6" w:rsidRPr="00B7014C" w:rsidRDefault="00847FF6" w:rsidP="00890082">
            <w:pPr>
              <w:jc w:val="center"/>
              <w:rPr>
                <w:b/>
                <w:bCs/>
                <w:color w:val="000000"/>
                <w:sz w:val="22"/>
                <w:szCs w:val="22"/>
                <w:lang w:eastAsia="en-GB"/>
              </w:rPr>
            </w:pPr>
            <w:r>
              <w:rPr>
                <w:b/>
                <w:bCs/>
                <w:color w:val="000000"/>
                <w:sz w:val="22"/>
                <w:szCs w:val="22"/>
                <w:lang w:eastAsia="en-GB"/>
              </w:rPr>
              <w:t>Jan-21</w:t>
            </w:r>
          </w:p>
        </w:tc>
        <w:tc>
          <w:tcPr>
            <w:tcW w:w="483" w:type="pct"/>
            <w:tcBorders>
              <w:top w:val="nil"/>
              <w:left w:val="nil"/>
              <w:bottom w:val="single" w:sz="8" w:space="0" w:color="auto"/>
              <w:right w:val="single" w:sz="8" w:space="0" w:color="auto"/>
            </w:tcBorders>
            <w:vAlign w:val="center"/>
          </w:tcPr>
          <w:p w14:paraId="0D64501B" w14:textId="77777777" w:rsidR="00847FF6" w:rsidRDefault="00847FF6" w:rsidP="00890082">
            <w:pPr>
              <w:jc w:val="center"/>
              <w:rPr>
                <w:b/>
                <w:bCs/>
                <w:color w:val="000000"/>
                <w:sz w:val="22"/>
                <w:szCs w:val="22"/>
                <w:lang w:eastAsia="en-GB"/>
              </w:rPr>
            </w:pPr>
            <w:r>
              <w:rPr>
                <w:b/>
                <w:bCs/>
                <w:color w:val="000000"/>
                <w:sz w:val="22"/>
                <w:szCs w:val="22"/>
                <w:lang w:eastAsia="en-GB"/>
              </w:rPr>
              <w:t>Jan-22</w:t>
            </w:r>
          </w:p>
        </w:tc>
      </w:tr>
      <w:tr w:rsidR="00847FF6" w:rsidRPr="00B7014C" w14:paraId="004E1723" w14:textId="77777777" w:rsidTr="00890082">
        <w:trPr>
          <w:trHeight w:val="315"/>
        </w:trPr>
        <w:tc>
          <w:tcPr>
            <w:tcW w:w="2105" w:type="pct"/>
            <w:tcBorders>
              <w:top w:val="nil"/>
              <w:left w:val="single" w:sz="8" w:space="0" w:color="auto"/>
              <w:bottom w:val="single" w:sz="8" w:space="0" w:color="auto"/>
              <w:right w:val="single" w:sz="8" w:space="0" w:color="auto"/>
            </w:tcBorders>
            <w:shd w:val="clear" w:color="auto" w:fill="auto"/>
            <w:noWrap/>
            <w:vAlign w:val="center"/>
            <w:hideMark/>
          </w:tcPr>
          <w:p w14:paraId="306B08E8" w14:textId="77777777" w:rsidR="00847FF6" w:rsidRPr="00B7014C" w:rsidRDefault="00847FF6" w:rsidP="00890082">
            <w:pPr>
              <w:rPr>
                <w:color w:val="000000"/>
                <w:sz w:val="22"/>
                <w:szCs w:val="22"/>
                <w:lang w:eastAsia="en-GB"/>
              </w:rPr>
            </w:pPr>
            <w:r w:rsidRPr="00B7014C">
              <w:rPr>
                <w:color w:val="000000"/>
                <w:sz w:val="22"/>
                <w:szCs w:val="22"/>
                <w:lang w:eastAsia="en-GB"/>
              </w:rPr>
              <w:t>High Schools in Brent</w:t>
            </w:r>
          </w:p>
        </w:tc>
        <w:tc>
          <w:tcPr>
            <w:tcW w:w="481" w:type="pct"/>
            <w:tcBorders>
              <w:top w:val="nil"/>
              <w:left w:val="nil"/>
              <w:bottom w:val="single" w:sz="8" w:space="0" w:color="auto"/>
              <w:right w:val="single" w:sz="8" w:space="0" w:color="auto"/>
            </w:tcBorders>
            <w:shd w:val="clear" w:color="auto" w:fill="auto"/>
            <w:noWrap/>
            <w:vAlign w:val="center"/>
            <w:hideMark/>
          </w:tcPr>
          <w:p w14:paraId="15417DCE" w14:textId="77777777" w:rsidR="00847FF6" w:rsidRPr="00B7014C" w:rsidRDefault="00847FF6" w:rsidP="00890082">
            <w:pPr>
              <w:jc w:val="center"/>
              <w:rPr>
                <w:color w:val="000000"/>
                <w:sz w:val="22"/>
                <w:szCs w:val="22"/>
                <w:lang w:eastAsia="en-GB"/>
              </w:rPr>
            </w:pPr>
            <w:r w:rsidRPr="00B7014C">
              <w:rPr>
                <w:color w:val="000000"/>
                <w:sz w:val="22"/>
                <w:szCs w:val="22"/>
                <w:lang w:eastAsia="en-GB"/>
              </w:rPr>
              <w:t>821</w:t>
            </w:r>
          </w:p>
        </w:tc>
        <w:tc>
          <w:tcPr>
            <w:tcW w:w="481" w:type="pct"/>
            <w:tcBorders>
              <w:top w:val="nil"/>
              <w:left w:val="nil"/>
              <w:bottom w:val="single" w:sz="8" w:space="0" w:color="auto"/>
              <w:right w:val="single" w:sz="8" w:space="0" w:color="auto"/>
            </w:tcBorders>
            <w:shd w:val="clear" w:color="auto" w:fill="auto"/>
            <w:noWrap/>
            <w:vAlign w:val="center"/>
            <w:hideMark/>
          </w:tcPr>
          <w:p w14:paraId="0C84134B" w14:textId="77777777" w:rsidR="00847FF6" w:rsidRPr="00B7014C" w:rsidRDefault="00847FF6" w:rsidP="00890082">
            <w:pPr>
              <w:jc w:val="center"/>
              <w:rPr>
                <w:color w:val="000000"/>
                <w:sz w:val="22"/>
                <w:szCs w:val="22"/>
                <w:lang w:eastAsia="en-GB"/>
              </w:rPr>
            </w:pPr>
            <w:r w:rsidRPr="00B7014C">
              <w:rPr>
                <w:color w:val="000000"/>
                <w:sz w:val="22"/>
                <w:szCs w:val="22"/>
                <w:lang w:eastAsia="en-GB"/>
              </w:rPr>
              <w:t>862</w:t>
            </w:r>
          </w:p>
        </w:tc>
        <w:tc>
          <w:tcPr>
            <w:tcW w:w="481" w:type="pct"/>
            <w:tcBorders>
              <w:top w:val="nil"/>
              <w:left w:val="nil"/>
              <w:bottom w:val="single" w:sz="8" w:space="0" w:color="auto"/>
              <w:right w:val="single" w:sz="8" w:space="0" w:color="auto"/>
            </w:tcBorders>
            <w:shd w:val="clear" w:color="auto" w:fill="auto"/>
            <w:noWrap/>
            <w:vAlign w:val="center"/>
            <w:hideMark/>
          </w:tcPr>
          <w:p w14:paraId="41E4D45A" w14:textId="77777777" w:rsidR="00847FF6" w:rsidRPr="00B7014C" w:rsidRDefault="00847FF6" w:rsidP="00890082">
            <w:pPr>
              <w:jc w:val="center"/>
              <w:rPr>
                <w:color w:val="000000"/>
                <w:sz w:val="22"/>
                <w:szCs w:val="22"/>
                <w:lang w:eastAsia="en-GB"/>
              </w:rPr>
            </w:pPr>
            <w:r w:rsidRPr="00B7014C">
              <w:rPr>
                <w:color w:val="000000"/>
                <w:sz w:val="22"/>
                <w:szCs w:val="22"/>
                <w:lang w:eastAsia="en-GB"/>
              </w:rPr>
              <w:t>893</w:t>
            </w:r>
          </w:p>
        </w:tc>
        <w:tc>
          <w:tcPr>
            <w:tcW w:w="484" w:type="pct"/>
            <w:tcBorders>
              <w:top w:val="nil"/>
              <w:left w:val="nil"/>
              <w:bottom w:val="single" w:sz="8" w:space="0" w:color="auto"/>
              <w:right w:val="single" w:sz="8" w:space="0" w:color="auto"/>
            </w:tcBorders>
            <w:vAlign w:val="center"/>
          </w:tcPr>
          <w:p w14:paraId="02B34BB4" w14:textId="77777777" w:rsidR="00847FF6" w:rsidRPr="00B7014C" w:rsidRDefault="00847FF6" w:rsidP="00890082">
            <w:pPr>
              <w:jc w:val="center"/>
              <w:rPr>
                <w:color w:val="000000"/>
                <w:sz w:val="22"/>
                <w:szCs w:val="22"/>
                <w:lang w:eastAsia="en-GB"/>
              </w:rPr>
            </w:pPr>
            <w:r w:rsidRPr="00B7014C">
              <w:rPr>
                <w:color w:val="000000"/>
                <w:sz w:val="22"/>
                <w:szCs w:val="22"/>
                <w:lang w:eastAsia="en-GB"/>
              </w:rPr>
              <w:t>862</w:t>
            </w:r>
          </w:p>
        </w:tc>
        <w:tc>
          <w:tcPr>
            <w:tcW w:w="485" w:type="pct"/>
            <w:tcBorders>
              <w:top w:val="nil"/>
              <w:left w:val="nil"/>
              <w:bottom w:val="single" w:sz="8" w:space="0" w:color="auto"/>
              <w:right w:val="single" w:sz="8" w:space="0" w:color="auto"/>
            </w:tcBorders>
            <w:vAlign w:val="center"/>
          </w:tcPr>
          <w:p w14:paraId="336BE50D" w14:textId="77777777" w:rsidR="00847FF6" w:rsidRPr="00B7014C" w:rsidRDefault="00847FF6" w:rsidP="00890082">
            <w:pPr>
              <w:jc w:val="center"/>
              <w:rPr>
                <w:color w:val="000000"/>
                <w:sz w:val="22"/>
                <w:szCs w:val="22"/>
                <w:lang w:eastAsia="en-GB"/>
              </w:rPr>
            </w:pPr>
            <w:r>
              <w:rPr>
                <w:color w:val="000000"/>
                <w:sz w:val="22"/>
                <w:szCs w:val="22"/>
                <w:lang w:eastAsia="en-GB"/>
              </w:rPr>
              <w:t>882</w:t>
            </w:r>
          </w:p>
        </w:tc>
        <w:tc>
          <w:tcPr>
            <w:tcW w:w="483" w:type="pct"/>
            <w:tcBorders>
              <w:top w:val="nil"/>
              <w:left w:val="nil"/>
              <w:bottom w:val="single" w:sz="8" w:space="0" w:color="auto"/>
              <w:right w:val="single" w:sz="8" w:space="0" w:color="auto"/>
            </w:tcBorders>
            <w:vAlign w:val="center"/>
          </w:tcPr>
          <w:p w14:paraId="4D3EE117" w14:textId="77777777" w:rsidR="00847FF6" w:rsidRDefault="00847FF6" w:rsidP="00890082">
            <w:pPr>
              <w:jc w:val="center"/>
              <w:rPr>
                <w:color w:val="000000"/>
                <w:sz w:val="22"/>
                <w:szCs w:val="22"/>
                <w:lang w:eastAsia="en-GB"/>
              </w:rPr>
            </w:pPr>
            <w:r>
              <w:rPr>
                <w:color w:val="000000"/>
                <w:sz w:val="22"/>
                <w:szCs w:val="22"/>
                <w:lang w:eastAsia="en-GB"/>
              </w:rPr>
              <w:t>886</w:t>
            </w:r>
          </w:p>
        </w:tc>
      </w:tr>
      <w:tr w:rsidR="00847FF6" w:rsidRPr="00B7014C" w14:paraId="3773E14E" w14:textId="77777777" w:rsidTr="00890082">
        <w:trPr>
          <w:trHeight w:val="315"/>
        </w:trPr>
        <w:tc>
          <w:tcPr>
            <w:tcW w:w="2105" w:type="pct"/>
            <w:tcBorders>
              <w:top w:val="nil"/>
              <w:left w:val="single" w:sz="8" w:space="0" w:color="auto"/>
              <w:bottom w:val="single" w:sz="8" w:space="0" w:color="auto"/>
              <w:right w:val="single" w:sz="8" w:space="0" w:color="auto"/>
            </w:tcBorders>
            <w:shd w:val="clear" w:color="auto" w:fill="auto"/>
            <w:noWrap/>
            <w:vAlign w:val="center"/>
          </w:tcPr>
          <w:p w14:paraId="4EDA3CC8" w14:textId="77777777" w:rsidR="00847FF6" w:rsidRPr="00B7014C" w:rsidRDefault="00847FF6" w:rsidP="00890082">
            <w:pPr>
              <w:rPr>
                <w:color w:val="000000"/>
                <w:sz w:val="22"/>
                <w:szCs w:val="22"/>
                <w:lang w:eastAsia="en-GB"/>
              </w:rPr>
            </w:pPr>
            <w:r w:rsidRPr="00B7014C">
              <w:rPr>
                <w:color w:val="000000"/>
                <w:sz w:val="22"/>
                <w:szCs w:val="22"/>
                <w:lang w:eastAsia="en-GB"/>
              </w:rPr>
              <w:t>High Schools in Hillingdon</w:t>
            </w:r>
          </w:p>
        </w:tc>
        <w:tc>
          <w:tcPr>
            <w:tcW w:w="481" w:type="pct"/>
            <w:tcBorders>
              <w:top w:val="nil"/>
              <w:left w:val="nil"/>
              <w:bottom w:val="single" w:sz="8" w:space="0" w:color="auto"/>
              <w:right w:val="single" w:sz="8" w:space="0" w:color="auto"/>
            </w:tcBorders>
            <w:shd w:val="clear" w:color="auto" w:fill="auto"/>
            <w:noWrap/>
            <w:vAlign w:val="center"/>
          </w:tcPr>
          <w:p w14:paraId="255A9ECC" w14:textId="77777777" w:rsidR="00847FF6" w:rsidRPr="00B7014C" w:rsidRDefault="00847FF6" w:rsidP="00890082">
            <w:pPr>
              <w:jc w:val="center"/>
              <w:rPr>
                <w:color w:val="000000"/>
                <w:sz w:val="22"/>
                <w:szCs w:val="22"/>
                <w:lang w:eastAsia="en-GB"/>
              </w:rPr>
            </w:pPr>
            <w:r w:rsidRPr="00B7014C">
              <w:rPr>
                <w:color w:val="000000"/>
                <w:sz w:val="22"/>
                <w:szCs w:val="22"/>
                <w:lang w:eastAsia="en-GB"/>
              </w:rPr>
              <w:t>836</w:t>
            </w:r>
          </w:p>
        </w:tc>
        <w:tc>
          <w:tcPr>
            <w:tcW w:w="481" w:type="pct"/>
            <w:tcBorders>
              <w:top w:val="nil"/>
              <w:left w:val="nil"/>
              <w:bottom w:val="single" w:sz="8" w:space="0" w:color="auto"/>
              <w:right w:val="single" w:sz="8" w:space="0" w:color="auto"/>
            </w:tcBorders>
            <w:shd w:val="clear" w:color="auto" w:fill="auto"/>
            <w:noWrap/>
            <w:vAlign w:val="center"/>
          </w:tcPr>
          <w:p w14:paraId="208ACDAE" w14:textId="77777777" w:rsidR="00847FF6" w:rsidRPr="00B7014C" w:rsidRDefault="00847FF6" w:rsidP="00890082">
            <w:pPr>
              <w:jc w:val="center"/>
              <w:rPr>
                <w:color w:val="000000"/>
                <w:sz w:val="22"/>
                <w:szCs w:val="22"/>
                <w:lang w:eastAsia="en-GB"/>
              </w:rPr>
            </w:pPr>
            <w:r w:rsidRPr="00B7014C">
              <w:rPr>
                <w:color w:val="000000"/>
                <w:sz w:val="22"/>
                <w:szCs w:val="22"/>
                <w:lang w:eastAsia="en-GB"/>
              </w:rPr>
              <w:t>836</w:t>
            </w:r>
          </w:p>
        </w:tc>
        <w:tc>
          <w:tcPr>
            <w:tcW w:w="481" w:type="pct"/>
            <w:tcBorders>
              <w:top w:val="nil"/>
              <w:left w:val="nil"/>
              <w:bottom w:val="single" w:sz="8" w:space="0" w:color="auto"/>
              <w:right w:val="single" w:sz="8" w:space="0" w:color="auto"/>
            </w:tcBorders>
            <w:shd w:val="clear" w:color="auto" w:fill="auto"/>
            <w:noWrap/>
            <w:vAlign w:val="center"/>
          </w:tcPr>
          <w:p w14:paraId="08015053" w14:textId="77777777" w:rsidR="00847FF6" w:rsidRPr="00B7014C" w:rsidRDefault="00847FF6" w:rsidP="00890082">
            <w:pPr>
              <w:jc w:val="center"/>
              <w:rPr>
                <w:color w:val="000000"/>
                <w:sz w:val="22"/>
                <w:szCs w:val="22"/>
                <w:lang w:eastAsia="en-GB"/>
              </w:rPr>
            </w:pPr>
            <w:r w:rsidRPr="00B7014C">
              <w:rPr>
                <w:color w:val="000000"/>
                <w:sz w:val="22"/>
                <w:szCs w:val="22"/>
                <w:lang w:eastAsia="en-GB"/>
              </w:rPr>
              <w:t>868</w:t>
            </w:r>
          </w:p>
        </w:tc>
        <w:tc>
          <w:tcPr>
            <w:tcW w:w="484" w:type="pct"/>
            <w:tcBorders>
              <w:top w:val="nil"/>
              <w:left w:val="nil"/>
              <w:bottom w:val="single" w:sz="8" w:space="0" w:color="auto"/>
              <w:right w:val="single" w:sz="8" w:space="0" w:color="auto"/>
            </w:tcBorders>
            <w:vAlign w:val="center"/>
          </w:tcPr>
          <w:p w14:paraId="357337E6" w14:textId="77777777" w:rsidR="00847FF6" w:rsidRPr="00B7014C" w:rsidRDefault="00847FF6" w:rsidP="00890082">
            <w:pPr>
              <w:jc w:val="center"/>
              <w:rPr>
                <w:color w:val="000000"/>
                <w:sz w:val="22"/>
                <w:szCs w:val="22"/>
                <w:lang w:eastAsia="en-GB"/>
              </w:rPr>
            </w:pPr>
            <w:r w:rsidRPr="00B7014C">
              <w:rPr>
                <w:color w:val="000000"/>
                <w:sz w:val="22"/>
                <w:szCs w:val="22"/>
                <w:lang w:eastAsia="en-GB"/>
              </w:rPr>
              <w:t>868</w:t>
            </w:r>
          </w:p>
        </w:tc>
        <w:tc>
          <w:tcPr>
            <w:tcW w:w="485" w:type="pct"/>
            <w:tcBorders>
              <w:top w:val="nil"/>
              <w:left w:val="nil"/>
              <w:bottom w:val="single" w:sz="8" w:space="0" w:color="auto"/>
              <w:right w:val="single" w:sz="8" w:space="0" w:color="auto"/>
            </w:tcBorders>
            <w:vAlign w:val="center"/>
          </w:tcPr>
          <w:p w14:paraId="203451CA" w14:textId="77777777" w:rsidR="00847FF6" w:rsidRPr="00B7014C" w:rsidRDefault="00847FF6" w:rsidP="00890082">
            <w:pPr>
              <w:jc w:val="center"/>
              <w:rPr>
                <w:color w:val="000000"/>
                <w:sz w:val="22"/>
                <w:szCs w:val="22"/>
                <w:lang w:eastAsia="en-GB"/>
              </w:rPr>
            </w:pPr>
            <w:r>
              <w:rPr>
                <w:color w:val="000000"/>
                <w:sz w:val="22"/>
                <w:szCs w:val="22"/>
                <w:lang w:eastAsia="en-GB"/>
              </w:rPr>
              <w:t>877</w:t>
            </w:r>
          </w:p>
        </w:tc>
        <w:tc>
          <w:tcPr>
            <w:tcW w:w="483" w:type="pct"/>
            <w:tcBorders>
              <w:top w:val="nil"/>
              <w:left w:val="nil"/>
              <w:bottom w:val="single" w:sz="8" w:space="0" w:color="auto"/>
              <w:right w:val="single" w:sz="8" w:space="0" w:color="auto"/>
            </w:tcBorders>
            <w:vAlign w:val="center"/>
          </w:tcPr>
          <w:p w14:paraId="1232870E" w14:textId="77777777" w:rsidR="00847FF6" w:rsidRDefault="00847FF6" w:rsidP="00890082">
            <w:pPr>
              <w:jc w:val="center"/>
              <w:rPr>
                <w:color w:val="000000"/>
                <w:sz w:val="22"/>
                <w:szCs w:val="22"/>
                <w:lang w:eastAsia="en-GB"/>
              </w:rPr>
            </w:pPr>
            <w:r>
              <w:rPr>
                <w:color w:val="000000"/>
                <w:sz w:val="22"/>
                <w:szCs w:val="22"/>
                <w:lang w:eastAsia="en-GB"/>
              </w:rPr>
              <w:t>868</w:t>
            </w:r>
          </w:p>
        </w:tc>
      </w:tr>
      <w:tr w:rsidR="00847FF6" w:rsidRPr="00B7014C" w14:paraId="1469CAB0" w14:textId="77777777" w:rsidTr="00890082">
        <w:trPr>
          <w:trHeight w:val="315"/>
        </w:trPr>
        <w:tc>
          <w:tcPr>
            <w:tcW w:w="2105" w:type="pct"/>
            <w:tcBorders>
              <w:top w:val="nil"/>
              <w:left w:val="single" w:sz="8" w:space="0" w:color="auto"/>
              <w:bottom w:val="single" w:sz="8" w:space="0" w:color="auto"/>
              <w:right w:val="single" w:sz="8" w:space="0" w:color="auto"/>
            </w:tcBorders>
            <w:shd w:val="clear" w:color="auto" w:fill="auto"/>
            <w:noWrap/>
            <w:vAlign w:val="center"/>
            <w:hideMark/>
          </w:tcPr>
          <w:p w14:paraId="7397302B" w14:textId="77777777" w:rsidR="00847FF6" w:rsidRPr="00B7014C" w:rsidRDefault="00847FF6" w:rsidP="00890082">
            <w:pPr>
              <w:rPr>
                <w:color w:val="000000"/>
                <w:sz w:val="22"/>
                <w:szCs w:val="22"/>
                <w:lang w:eastAsia="en-GB"/>
              </w:rPr>
            </w:pPr>
            <w:r w:rsidRPr="00B7014C">
              <w:rPr>
                <w:color w:val="000000"/>
                <w:sz w:val="22"/>
                <w:szCs w:val="22"/>
                <w:lang w:eastAsia="en-GB"/>
              </w:rPr>
              <w:t>High Schools in Hertfordshire</w:t>
            </w:r>
          </w:p>
        </w:tc>
        <w:tc>
          <w:tcPr>
            <w:tcW w:w="481" w:type="pct"/>
            <w:tcBorders>
              <w:top w:val="nil"/>
              <w:left w:val="nil"/>
              <w:bottom w:val="single" w:sz="8" w:space="0" w:color="auto"/>
              <w:right w:val="single" w:sz="8" w:space="0" w:color="auto"/>
            </w:tcBorders>
            <w:shd w:val="clear" w:color="auto" w:fill="auto"/>
            <w:noWrap/>
            <w:vAlign w:val="center"/>
            <w:hideMark/>
          </w:tcPr>
          <w:p w14:paraId="0A1FE2BA" w14:textId="77777777" w:rsidR="00847FF6" w:rsidRPr="00B7014C" w:rsidRDefault="00847FF6" w:rsidP="00890082">
            <w:pPr>
              <w:jc w:val="center"/>
              <w:rPr>
                <w:color w:val="000000"/>
                <w:sz w:val="22"/>
                <w:szCs w:val="22"/>
                <w:lang w:eastAsia="en-GB"/>
              </w:rPr>
            </w:pPr>
            <w:r w:rsidRPr="00B7014C">
              <w:rPr>
                <w:color w:val="000000"/>
                <w:sz w:val="22"/>
                <w:szCs w:val="22"/>
                <w:lang w:eastAsia="en-GB"/>
              </w:rPr>
              <w:t>759</w:t>
            </w:r>
          </w:p>
        </w:tc>
        <w:tc>
          <w:tcPr>
            <w:tcW w:w="481" w:type="pct"/>
            <w:tcBorders>
              <w:top w:val="nil"/>
              <w:left w:val="nil"/>
              <w:bottom w:val="single" w:sz="8" w:space="0" w:color="auto"/>
              <w:right w:val="single" w:sz="8" w:space="0" w:color="auto"/>
            </w:tcBorders>
            <w:shd w:val="clear" w:color="auto" w:fill="auto"/>
            <w:noWrap/>
            <w:vAlign w:val="center"/>
            <w:hideMark/>
          </w:tcPr>
          <w:p w14:paraId="0449ABDA" w14:textId="77777777" w:rsidR="00847FF6" w:rsidRPr="00B7014C" w:rsidRDefault="00847FF6" w:rsidP="00890082">
            <w:pPr>
              <w:jc w:val="center"/>
              <w:rPr>
                <w:color w:val="000000"/>
                <w:sz w:val="22"/>
                <w:szCs w:val="22"/>
                <w:lang w:eastAsia="en-GB"/>
              </w:rPr>
            </w:pPr>
            <w:r w:rsidRPr="00B7014C">
              <w:rPr>
                <w:color w:val="000000"/>
                <w:sz w:val="22"/>
                <w:szCs w:val="22"/>
                <w:lang w:eastAsia="en-GB"/>
              </w:rPr>
              <w:t>824</w:t>
            </w:r>
          </w:p>
        </w:tc>
        <w:tc>
          <w:tcPr>
            <w:tcW w:w="481" w:type="pct"/>
            <w:tcBorders>
              <w:top w:val="nil"/>
              <w:left w:val="nil"/>
              <w:bottom w:val="single" w:sz="8" w:space="0" w:color="auto"/>
              <w:right w:val="single" w:sz="8" w:space="0" w:color="auto"/>
            </w:tcBorders>
            <w:shd w:val="clear" w:color="auto" w:fill="auto"/>
            <w:noWrap/>
            <w:vAlign w:val="center"/>
            <w:hideMark/>
          </w:tcPr>
          <w:p w14:paraId="1952791A" w14:textId="77777777" w:rsidR="00847FF6" w:rsidRPr="00B7014C" w:rsidRDefault="00847FF6" w:rsidP="00890082">
            <w:pPr>
              <w:jc w:val="center"/>
              <w:rPr>
                <w:color w:val="000000"/>
                <w:sz w:val="22"/>
                <w:szCs w:val="22"/>
                <w:lang w:eastAsia="en-GB"/>
              </w:rPr>
            </w:pPr>
            <w:r w:rsidRPr="00B7014C">
              <w:rPr>
                <w:color w:val="000000"/>
                <w:sz w:val="22"/>
                <w:szCs w:val="22"/>
                <w:lang w:eastAsia="en-GB"/>
              </w:rPr>
              <w:t>841</w:t>
            </w:r>
          </w:p>
        </w:tc>
        <w:tc>
          <w:tcPr>
            <w:tcW w:w="484" w:type="pct"/>
            <w:tcBorders>
              <w:top w:val="nil"/>
              <w:left w:val="nil"/>
              <w:bottom w:val="single" w:sz="8" w:space="0" w:color="auto"/>
              <w:right w:val="single" w:sz="8" w:space="0" w:color="auto"/>
            </w:tcBorders>
            <w:vAlign w:val="center"/>
          </w:tcPr>
          <w:p w14:paraId="0BFCA90C" w14:textId="77777777" w:rsidR="00847FF6" w:rsidRPr="00B7014C" w:rsidRDefault="00847FF6" w:rsidP="00890082">
            <w:pPr>
              <w:jc w:val="center"/>
              <w:rPr>
                <w:color w:val="000000"/>
                <w:sz w:val="22"/>
                <w:szCs w:val="22"/>
                <w:lang w:eastAsia="en-GB"/>
              </w:rPr>
            </w:pPr>
            <w:r w:rsidRPr="00B7014C">
              <w:rPr>
                <w:color w:val="000000"/>
                <w:sz w:val="22"/>
                <w:szCs w:val="22"/>
                <w:lang w:eastAsia="en-GB"/>
              </w:rPr>
              <w:t>828</w:t>
            </w:r>
          </w:p>
        </w:tc>
        <w:tc>
          <w:tcPr>
            <w:tcW w:w="485" w:type="pct"/>
            <w:tcBorders>
              <w:top w:val="nil"/>
              <w:left w:val="nil"/>
              <w:bottom w:val="single" w:sz="8" w:space="0" w:color="auto"/>
              <w:right w:val="single" w:sz="8" w:space="0" w:color="auto"/>
            </w:tcBorders>
            <w:vAlign w:val="center"/>
          </w:tcPr>
          <w:p w14:paraId="76EDF996" w14:textId="77777777" w:rsidR="00847FF6" w:rsidRPr="00B7014C" w:rsidRDefault="00847FF6" w:rsidP="00890082">
            <w:pPr>
              <w:jc w:val="center"/>
              <w:rPr>
                <w:color w:val="000000"/>
                <w:sz w:val="22"/>
                <w:szCs w:val="22"/>
                <w:lang w:eastAsia="en-GB"/>
              </w:rPr>
            </w:pPr>
            <w:r>
              <w:rPr>
                <w:color w:val="000000"/>
                <w:sz w:val="22"/>
                <w:szCs w:val="22"/>
                <w:lang w:eastAsia="en-GB"/>
              </w:rPr>
              <w:t>819</w:t>
            </w:r>
          </w:p>
        </w:tc>
        <w:tc>
          <w:tcPr>
            <w:tcW w:w="483" w:type="pct"/>
            <w:tcBorders>
              <w:top w:val="nil"/>
              <w:left w:val="nil"/>
              <w:bottom w:val="single" w:sz="8" w:space="0" w:color="auto"/>
              <w:right w:val="single" w:sz="8" w:space="0" w:color="auto"/>
            </w:tcBorders>
            <w:vAlign w:val="center"/>
          </w:tcPr>
          <w:p w14:paraId="228CF398" w14:textId="77777777" w:rsidR="00847FF6" w:rsidRDefault="00847FF6" w:rsidP="00890082">
            <w:pPr>
              <w:jc w:val="center"/>
              <w:rPr>
                <w:color w:val="000000"/>
                <w:sz w:val="22"/>
                <w:szCs w:val="22"/>
                <w:lang w:eastAsia="en-GB"/>
              </w:rPr>
            </w:pPr>
            <w:r>
              <w:rPr>
                <w:color w:val="000000"/>
                <w:sz w:val="22"/>
                <w:szCs w:val="22"/>
                <w:lang w:eastAsia="en-GB"/>
              </w:rPr>
              <w:t>808</w:t>
            </w:r>
          </w:p>
        </w:tc>
      </w:tr>
      <w:tr w:rsidR="00847FF6" w:rsidRPr="00B7014C" w14:paraId="50697D1C" w14:textId="77777777" w:rsidTr="00890082">
        <w:trPr>
          <w:trHeight w:val="315"/>
        </w:trPr>
        <w:tc>
          <w:tcPr>
            <w:tcW w:w="2105" w:type="pct"/>
            <w:tcBorders>
              <w:top w:val="nil"/>
              <w:left w:val="single" w:sz="8" w:space="0" w:color="auto"/>
              <w:bottom w:val="single" w:sz="8" w:space="0" w:color="auto"/>
              <w:right w:val="single" w:sz="8" w:space="0" w:color="auto"/>
            </w:tcBorders>
            <w:shd w:val="clear" w:color="auto" w:fill="auto"/>
            <w:noWrap/>
            <w:vAlign w:val="center"/>
            <w:hideMark/>
          </w:tcPr>
          <w:p w14:paraId="39918BD1" w14:textId="77777777" w:rsidR="00847FF6" w:rsidRPr="00B7014C" w:rsidRDefault="00847FF6" w:rsidP="00890082">
            <w:pPr>
              <w:rPr>
                <w:color w:val="000000"/>
                <w:sz w:val="22"/>
                <w:szCs w:val="22"/>
                <w:lang w:eastAsia="en-GB"/>
              </w:rPr>
            </w:pPr>
            <w:r w:rsidRPr="00B7014C">
              <w:rPr>
                <w:color w:val="000000"/>
                <w:sz w:val="22"/>
                <w:szCs w:val="22"/>
                <w:lang w:eastAsia="en-GB"/>
              </w:rPr>
              <w:t>High Schools in Barnet</w:t>
            </w:r>
          </w:p>
        </w:tc>
        <w:tc>
          <w:tcPr>
            <w:tcW w:w="481" w:type="pct"/>
            <w:tcBorders>
              <w:top w:val="nil"/>
              <w:left w:val="nil"/>
              <w:bottom w:val="single" w:sz="8" w:space="0" w:color="auto"/>
              <w:right w:val="single" w:sz="8" w:space="0" w:color="auto"/>
            </w:tcBorders>
            <w:shd w:val="clear" w:color="auto" w:fill="auto"/>
            <w:noWrap/>
            <w:vAlign w:val="center"/>
            <w:hideMark/>
          </w:tcPr>
          <w:p w14:paraId="1FADAE83" w14:textId="77777777" w:rsidR="00847FF6" w:rsidRPr="00B7014C" w:rsidRDefault="00847FF6" w:rsidP="00890082">
            <w:pPr>
              <w:jc w:val="center"/>
              <w:rPr>
                <w:color w:val="000000"/>
                <w:sz w:val="22"/>
                <w:szCs w:val="22"/>
                <w:lang w:eastAsia="en-GB"/>
              </w:rPr>
            </w:pPr>
            <w:r w:rsidRPr="00B7014C">
              <w:rPr>
                <w:color w:val="000000"/>
                <w:sz w:val="22"/>
                <w:szCs w:val="22"/>
                <w:lang w:eastAsia="en-GB"/>
              </w:rPr>
              <w:t>739</w:t>
            </w:r>
          </w:p>
        </w:tc>
        <w:tc>
          <w:tcPr>
            <w:tcW w:w="481" w:type="pct"/>
            <w:tcBorders>
              <w:top w:val="nil"/>
              <w:left w:val="nil"/>
              <w:bottom w:val="single" w:sz="8" w:space="0" w:color="auto"/>
              <w:right w:val="single" w:sz="8" w:space="0" w:color="auto"/>
            </w:tcBorders>
            <w:shd w:val="clear" w:color="auto" w:fill="auto"/>
            <w:noWrap/>
            <w:vAlign w:val="center"/>
            <w:hideMark/>
          </w:tcPr>
          <w:p w14:paraId="650CAC68" w14:textId="77777777" w:rsidR="00847FF6" w:rsidRPr="00B7014C" w:rsidRDefault="00847FF6" w:rsidP="00890082">
            <w:pPr>
              <w:jc w:val="center"/>
              <w:rPr>
                <w:color w:val="000000"/>
                <w:sz w:val="22"/>
                <w:szCs w:val="22"/>
                <w:lang w:eastAsia="en-GB"/>
              </w:rPr>
            </w:pPr>
            <w:r w:rsidRPr="00B7014C">
              <w:rPr>
                <w:color w:val="000000"/>
                <w:sz w:val="22"/>
                <w:szCs w:val="22"/>
                <w:lang w:eastAsia="en-GB"/>
              </w:rPr>
              <w:t>706</w:t>
            </w:r>
          </w:p>
        </w:tc>
        <w:tc>
          <w:tcPr>
            <w:tcW w:w="481" w:type="pct"/>
            <w:tcBorders>
              <w:top w:val="nil"/>
              <w:left w:val="nil"/>
              <w:bottom w:val="single" w:sz="8" w:space="0" w:color="auto"/>
              <w:right w:val="single" w:sz="8" w:space="0" w:color="auto"/>
            </w:tcBorders>
            <w:shd w:val="clear" w:color="auto" w:fill="auto"/>
            <w:noWrap/>
            <w:vAlign w:val="center"/>
            <w:hideMark/>
          </w:tcPr>
          <w:p w14:paraId="323F034C" w14:textId="77777777" w:rsidR="00847FF6" w:rsidRPr="00B7014C" w:rsidRDefault="00847FF6" w:rsidP="00890082">
            <w:pPr>
              <w:jc w:val="center"/>
              <w:rPr>
                <w:color w:val="000000"/>
                <w:sz w:val="22"/>
                <w:szCs w:val="22"/>
                <w:lang w:eastAsia="en-GB"/>
              </w:rPr>
            </w:pPr>
            <w:r w:rsidRPr="00B7014C">
              <w:rPr>
                <w:color w:val="000000"/>
                <w:sz w:val="22"/>
                <w:szCs w:val="22"/>
                <w:lang w:eastAsia="en-GB"/>
              </w:rPr>
              <w:t>699</w:t>
            </w:r>
          </w:p>
        </w:tc>
        <w:tc>
          <w:tcPr>
            <w:tcW w:w="484" w:type="pct"/>
            <w:tcBorders>
              <w:top w:val="nil"/>
              <w:left w:val="nil"/>
              <w:bottom w:val="single" w:sz="8" w:space="0" w:color="auto"/>
              <w:right w:val="single" w:sz="8" w:space="0" w:color="auto"/>
            </w:tcBorders>
            <w:vAlign w:val="center"/>
          </w:tcPr>
          <w:p w14:paraId="366E5B91" w14:textId="77777777" w:rsidR="00847FF6" w:rsidRPr="00B7014C" w:rsidRDefault="00847FF6" w:rsidP="00890082">
            <w:pPr>
              <w:jc w:val="center"/>
              <w:rPr>
                <w:color w:val="000000"/>
                <w:sz w:val="22"/>
                <w:szCs w:val="22"/>
                <w:lang w:eastAsia="en-GB"/>
              </w:rPr>
            </w:pPr>
            <w:r w:rsidRPr="00B7014C">
              <w:rPr>
                <w:color w:val="000000"/>
                <w:sz w:val="22"/>
                <w:szCs w:val="22"/>
                <w:lang w:eastAsia="en-GB"/>
              </w:rPr>
              <w:t>647</w:t>
            </w:r>
          </w:p>
        </w:tc>
        <w:tc>
          <w:tcPr>
            <w:tcW w:w="485" w:type="pct"/>
            <w:tcBorders>
              <w:top w:val="nil"/>
              <w:left w:val="nil"/>
              <w:bottom w:val="single" w:sz="8" w:space="0" w:color="auto"/>
              <w:right w:val="single" w:sz="8" w:space="0" w:color="auto"/>
            </w:tcBorders>
            <w:vAlign w:val="center"/>
          </w:tcPr>
          <w:p w14:paraId="42BBA52A" w14:textId="77777777" w:rsidR="00847FF6" w:rsidRPr="00B7014C" w:rsidRDefault="00847FF6" w:rsidP="00890082">
            <w:pPr>
              <w:jc w:val="center"/>
              <w:rPr>
                <w:color w:val="000000"/>
                <w:sz w:val="22"/>
                <w:szCs w:val="22"/>
                <w:lang w:eastAsia="en-GB"/>
              </w:rPr>
            </w:pPr>
            <w:r>
              <w:rPr>
                <w:color w:val="000000"/>
                <w:sz w:val="22"/>
                <w:szCs w:val="22"/>
                <w:lang w:eastAsia="en-GB"/>
              </w:rPr>
              <w:t>639</w:t>
            </w:r>
          </w:p>
        </w:tc>
        <w:tc>
          <w:tcPr>
            <w:tcW w:w="483" w:type="pct"/>
            <w:tcBorders>
              <w:top w:val="nil"/>
              <w:left w:val="nil"/>
              <w:bottom w:val="single" w:sz="8" w:space="0" w:color="auto"/>
              <w:right w:val="single" w:sz="8" w:space="0" w:color="auto"/>
            </w:tcBorders>
            <w:vAlign w:val="center"/>
          </w:tcPr>
          <w:p w14:paraId="33BC0DC8" w14:textId="77777777" w:rsidR="00847FF6" w:rsidRDefault="00847FF6" w:rsidP="00890082">
            <w:pPr>
              <w:jc w:val="center"/>
              <w:rPr>
                <w:color w:val="000000"/>
                <w:sz w:val="22"/>
                <w:szCs w:val="22"/>
                <w:lang w:eastAsia="en-GB"/>
              </w:rPr>
            </w:pPr>
            <w:r>
              <w:rPr>
                <w:color w:val="000000"/>
                <w:sz w:val="22"/>
                <w:szCs w:val="22"/>
                <w:lang w:eastAsia="en-GB"/>
              </w:rPr>
              <w:t>691</w:t>
            </w:r>
          </w:p>
        </w:tc>
      </w:tr>
      <w:tr w:rsidR="00847FF6" w:rsidRPr="00B7014C" w14:paraId="70FFA805" w14:textId="77777777" w:rsidTr="00890082">
        <w:trPr>
          <w:trHeight w:val="315"/>
        </w:trPr>
        <w:tc>
          <w:tcPr>
            <w:tcW w:w="2105" w:type="pct"/>
            <w:tcBorders>
              <w:top w:val="nil"/>
              <w:left w:val="single" w:sz="8" w:space="0" w:color="auto"/>
              <w:bottom w:val="single" w:sz="8" w:space="0" w:color="auto"/>
              <w:right w:val="single" w:sz="8" w:space="0" w:color="auto"/>
            </w:tcBorders>
            <w:shd w:val="clear" w:color="auto" w:fill="auto"/>
            <w:noWrap/>
            <w:vAlign w:val="center"/>
            <w:hideMark/>
          </w:tcPr>
          <w:p w14:paraId="79F171A3" w14:textId="77777777" w:rsidR="00847FF6" w:rsidRPr="00B7014C" w:rsidRDefault="00847FF6" w:rsidP="00890082">
            <w:pPr>
              <w:rPr>
                <w:color w:val="000000"/>
                <w:sz w:val="22"/>
                <w:szCs w:val="22"/>
                <w:lang w:eastAsia="en-GB"/>
              </w:rPr>
            </w:pPr>
            <w:r w:rsidRPr="00B7014C">
              <w:rPr>
                <w:color w:val="000000"/>
                <w:sz w:val="22"/>
                <w:szCs w:val="22"/>
                <w:lang w:eastAsia="en-GB"/>
              </w:rPr>
              <w:t>High Schools in Ealing</w:t>
            </w:r>
          </w:p>
        </w:tc>
        <w:tc>
          <w:tcPr>
            <w:tcW w:w="481" w:type="pct"/>
            <w:tcBorders>
              <w:top w:val="nil"/>
              <w:left w:val="nil"/>
              <w:bottom w:val="single" w:sz="8" w:space="0" w:color="auto"/>
              <w:right w:val="single" w:sz="8" w:space="0" w:color="auto"/>
            </w:tcBorders>
            <w:shd w:val="clear" w:color="auto" w:fill="auto"/>
            <w:noWrap/>
            <w:vAlign w:val="center"/>
            <w:hideMark/>
          </w:tcPr>
          <w:p w14:paraId="3EA16B95" w14:textId="77777777" w:rsidR="00847FF6" w:rsidRPr="00B7014C" w:rsidRDefault="00847FF6" w:rsidP="00890082">
            <w:pPr>
              <w:jc w:val="center"/>
              <w:rPr>
                <w:color w:val="000000"/>
                <w:sz w:val="22"/>
                <w:szCs w:val="22"/>
                <w:lang w:eastAsia="en-GB"/>
              </w:rPr>
            </w:pPr>
            <w:r w:rsidRPr="00B7014C">
              <w:rPr>
                <w:color w:val="000000"/>
                <w:sz w:val="22"/>
                <w:szCs w:val="22"/>
                <w:lang w:eastAsia="en-GB"/>
              </w:rPr>
              <w:t>86</w:t>
            </w:r>
          </w:p>
        </w:tc>
        <w:tc>
          <w:tcPr>
            <w:tcW w:w="481" w:type="pct"/>
            <w:tcBorders>
              <w:top w:val="nil"/>
              <w:left w:val="nil"/>
              <w:bottom w:val="single" w:sz="8" w:space="0" w:color="auto"/>
              <w:right w:val="single" w:sz="8" w:space="0" w:color="auto"/>
            </w:tcBorders>
            <w:shd w:val="clear" w:color="auto" w:fill="auto"/>
            <w:noWrap/>
            <w:vAlign w:val="center"/>
            <w:hideMark/>
          </w:tcPr>
          <w:p w14:paraId="51A90639" w14:textId="77777777" w:rsidR="00847FF6" w:rsidRPr="00B7014C" w:rsidRDefault="00847FF6" w:rsidP="00890082">
            <w:pPr>
              <w:jc w:val="center"/>
              <w:rPr>
                <w:color w:val="000000"/>
                <w:sz w:val="22"/>
                <w:szCs w:val="22"/>
                <w:lang w:eastAsia="en-GB"/>
              </w:rPr>
            </w:pPr>
            <w:r w:rsidRPr="00B7014C">
              <w:rPr>
                <w:color w:val="000000"/>
                <w:sz w:val="22"/>
                <w:szCs w:val="22"/>
                <w:lang w:eastAsia="en-GB"/>
              </w:rPr>
              <w:t>110</w:t>
            </w:r>
          </w:p>
        </w:tc>
        <w:tc>
          <w:tcPr>
            <w:tcW w:w="481" w:type="pct"/>
            <w:tcBorders>
              <w:top w:val="nil"/>
              <w:left w:val="nil"/>
              <w:bottom w:val="single" w:sz="8" w:space="0" w:color="auto"/>
              <w:right w:val="single" w:sz="8" w:space="0" w:color="auto"/>
            </w:tcBorders>
            <w:shd w:val="clear" w:color="auto" w:fill="auto"/>
            <w:noWrap/>
            <w:vAlign w:val="center"/>
            <w:hideMark/>
          </w:tcPr>
          <w:p w14:paraId="5C60A367" w14:textId="77777777" w:rsidR="00847FF6" w:rsidRPr="00B7014C" w:rsidRDefault="00847FF6" w:rsidP="00890082">
            <w:pPr>
              <w:jc w:val="center"/>
              <w:rPr>
                <w:color w:val="000000"/>
                <w:sz w:val="22"/>
                <w:szCs w:val="22"/>
                <w:lang w:eastAsia="en-GB"/>
              </w:rPr>
            </w:pPr>
            <w:r w:rsidRPr="00B7014C">
              <w:rPr>
                <w:color w:val="000000"/>
                <w:sz w:val="22"/>
                <w:szCs w:val="22"/>
                <w:lang w:eastAsia="en-GB"/>
              </w:rPr>
              <w:t>92</w:t>
            </w:r>
          </w:p>
        </w:tc>
        <w:tc>
          <w:tcPr>
            <w:tcW w:w="484" w:type="pct"/>
            <w:tcBorders>
              <w:top w:val="nil"/>
              <w:left w:val="nil"/>
              <w:bottom w:val="single" w:sz="8" w:space="0" w:color="auto"/>
              <w:right w:val="single" w:sz="8" w:space="0" w:color="auto"/>
            </w:tcBorders>
            <w:vAlign w:val="center"/>
          </w:tcPr>
          <w:p w14:paraId="02699970" w14:textId="77777777" w:rsidR="00847FF6" w:rsidRPr="00B7014C" w:rsidRDefault="00847FF6" w:rsidP="00890082">
            <w:pPr>
              <w:jc w:val="center"/>
              <w:rPr>
                <w:color w:val="000000"/>
                <w:sz w:val="22"/>
                <w:szCs w:val="22"/>
                <w:lang w:eastAsia="en-GB"/>
              </w:rPr>
            </w:pPr>
            <w:r w:rsidRPr="00B7014C">
              <w:rPr>
                <w:color w:val="000000"/>
                <w:sz w:val="22"/>
                <w:szCs w:val="22"/>
                <w:lang w:eastAsia="en-GB"/>
              </w:rPr>
              <w:t>94</w:t>
            </w:r>
          </w:p>
        </w:tc>
        <w:tc>
          <w:tcPr>
            <w:tcW w:w="485" w:type="pct"/>
            <w:tcBorders>
              <w:top w:val="nil"/>
              <w:left w:val="nil"/>
              <w:bottom w:val="single" w:sz="8" w:space="0" w:color="auto"/>
              <w:right w:val="single" w:sz="8" w:space="0" w:color="auto"/>
            </w:tcBorders>
            <w:vAlign w:val="center"/>
          </w:tcPr>
          <w:p w14:paraId="28300A32" w14:textId="77777777" w:rsidR="00847FF6" w:rsidRPr="00B7014C" w:rsidRDefault="00847FF6" w:rsidP="00890082">
            <w:pPr>
              <w:jc w:val="center"/>
              <w:rPr>
                <w:color w:val="000000"/>
                <w:sz w:val="22"/>
                <w:szCs w:val="22"/>
                <w:lang w:eastAsia="en-GB"/>
              </w:rPr>
            </w:pPr>
            <w:r>
              <w:rPr>
                <w:color w:val="000000"/>
                <w:sz w:val="22"/>
                <w:szCs w:val="22"/>
                <w:lang w:eastAsia="en-GB"/>
              </w:rPr>
              <w:t>108</w:t>
            </w:r>
          </w:p>
        </w:tc>
        <w:tc>
          <w:tcPr>
            <w:tcW w:w="483" w:type="pct"/>
            <w:tcBorders>
              <w:top w:val="nil"/>
              <w:left w:val="nil"/>
              <w:bottom w:val="single" w:sz="8" w:space="0" w:color="auto"/>
              <w:right w:val="single" w:sz="8" w:space="0" w:color="auto"/>
            </w:tcBorders>
            <w:vAlign w:val="center"/>
          </w:tcPr>
          <w:p w14:paraId="5603F5F5" w14:textId="77777777" w:rsidR="00847FF6" w:rsidRDefault="00847FF6" w:rsidP="00890082">
            <w:pPr>
              <w:jc w:val="center"/>
              <w:rPr>
                <w:color w:val="000000"/>
                <w:sz w:val="22"/>
                <w:szCs w:val="22"/>
                <w:lang w:eastAsia="en-GB"/>
              </w:rPr>
            </w:pPr>
            <w:r>
              <w:rPr>
                <w:color w:val="000000"/>
                <w:sz w:val="22"/>
                <w:szCs w:val="22"/>
                <w:lang w:eastAsia="en-GB"/>
              </w:rPr>
              <w:t>122</w:t>
            </w:r>
          </w:p>
        </w:tc>
      </w:tr>
      <w:tr w:rsidR="00847FF6" w:rsidRPr="00B7014C" w14:paraId="1F7EF1BD" w14:textId="77777777" w:rsidTr="00890082">
        <w:trPr>
          <w:trHeight w:val="315"/>
        </w:trPr>
        <w:tc>
          <w:tcPr>
            <w:tcW w:w="2105" w:type="pct"/>
            <w:tcBorders>
              <w:top w:val="nil"/>
              <w:left w:val="single" w:sz="8" w:space="0" w:color="auto"/>
              <w:bottom w:val="single" w:sz="8" w:space="0" w:color="auto"/>
              <w:right w:val="single" w:sz="8" w:space="0" w:color="auto"/>
            </w:tcBorders>
            <w:shd w:val="clear" w:color="auto" w:fill="auto"/>
            <w:noWrap/>
            <w:vAlign w:val="center"/>
            <w:hideMark/>
          </w:tcPr>
          <w:p w14:paraId="1ADDB6DD" w14:textId="77777777" w:rsidR="00847FF6" w:rsidRPr="00B7014C" w:rsidRDefault="00847FF6" w:rsidP="00890082">
            <w:pPr>
              <w:rPr>
                <w:color w:val="000000"/>
                <w:sz w:val="22"/>
                <w:szCs w:val="22"/>
                <w:lang w:eastAsia="en-GB"/>
              </w:rPr>
            </w:pPr>
            <w:r w:rsidRPr="00B7014C">
              <w:rPr>
                <w:color w:val="000000"/>
                <w:sz w:val="22"/>
                <w:szCs w:val="22"/>
                <w:lang w:eastAsia="en-GB"/>
              </w:rPr>
              <w:t>High Schools in Buckinghamshire</w:t>
            </w:r>
          </w:p>
        </w:tc>
        <w:tc>
          <w:tcPr>
            <w:tcW w:w="481" w:type="pct"/>
            <w:tcBorders>
              <w:top w:val="nil"/>
              <w:left w:val="nil"/>
              <w:bottom w:val="single" w:sz="8" w:space="0" w:color="auto"/>
              <w:right w:val="single" w:sz="8" w:space="0" w:color="auto"/>
            </w:tcBorders>
            <w:shd w:val="clear" w:color="auto" w:fill="auto"/>
            <w:noWrap/>
            <w:vAlign w:val="center"/>
            <w:hideMark/>
          </w:tcPr>
          <w:p w14:paraId="46BCF741" w14:textId="77777777" w:rsidR="00847FF6" w:rsidRPr="00B7014C" w:rsidRDefault="00847FF6" w:rsidP="00890082">
            <w:pPr>
              <w:jc w:val="center"/>
              <w:rPr>
                <w:color w:val="000000"/>
                <w:sz w:val="22"/>
                <w:szCs w:val="22"/>
                <w:lang w:eastAsia="en-GB"/>
              </w:rPr>
            </w:pPr>
            <w:r w:rsidRPr="00B7014C">
              <w:rPr>
                <w:color w:val="000000"/>
                <w:sz w:val="22"/>
                <w:szCs w:val="22"/>
                <w:lang w:eastAsia="en-GB"/>
              </w:rPr>
              <w:t>116</w:t>
            </w:r>
          </w:p>
        </w:tc>
        <w:tc>
          <w:tcPr>
            <w:tcW w:w="481" w:type="pct"/>
            <w:tcBorders>
              <w:top w:val="nil"/>
              <w:left w:val="nil"/>
              <w:bottom w:val="single" w:sz="8" w:space="0" w:color="auto"/>
              <w:right w:val="single" w:sz="8" w:space="0" w:color="auto"/>
            </w:tcBorders>
            <w:shd w:val="clear" w:color="auto" w:fill="auto"/>
            <w:noWrap/>
            <w:vAlign w:val="center"/>
            <w:hideMark/>
          </w:tcPr>
          <w:p w14:paraId="5A665094" w14:textId="77777777" w:rsidR="00847FF6" w:rsidRPr="00B7014C" w:rsidRDefault="00847FF6" w:rsidP="00890082">
            <w:pPr>
              <w:jc w:val="center"/>
              <w:rPr>
                <w:color w:val="000000"/>
                <w:sz w:val="22"/>
                <w:szCs w:val="22"/>
                <w:lang w:eastAsia="en-GB"/>
              </w:rPr>
            </w:pPr>
            <w:r w:rsidRPr="00B7014C">
              <w:rPr>
                <w:color w:val="000000"/>
                <w:sz w:val="22"/>
                <w:szCs w:val="22"/>
                <w:lang w:eastAsia="en-GB"/>
              </w:rPr>
              <w:t>143</w:t>
            </w:r>
          </w:p>
        </w:tc>
        <w:tc>
          <w:tcPr>
            <w:tcW w:w="481" w:type="pct"/>
            <w:tcBorders>
              <w:top w:val="nil"/>
              <w:left w:val="nil"/>
              <w:bottom w:val="single" w:sz="8" w:space="0" w:color="auto"/>
              <w:right w:val="single" w:sz="8" w:space="0" w:color="auto"/>
            </w:tcBorders>
            <w:shd w:val="clear" w:color="auto" w:fill="auto"/>
            <w:noWrap/>
            <w:vAlign w:val="center"/>
            <w:hideMark/>
          </w:tcPr>
          <w:p w14:paraId="222E210C" w14:textId="77777777" w:rsidR="00847FF6" w:rsidRPr="00B7014C" w:rsidRDefault="00847FF6" w:rsidP="00890082">
            <w:pPr>
              <w:jc w:val="center"/>
              <w:rPr>
                <w:color w:val="000000"/>
                <w:sz w:val="22"/>
                <w:szCs w:val="22"/>
                <w:lang w:eastAsia="en-GB"/>
              </w:rPr>
            </w:pPr>
            <w:r w:rsidRPr="00B7014C">
              <w:rPr>
                <w:color w:val="000000"/>
                <w:sz w:val="22"/>
                <w:szCs w:val="22"/>
                <w:lang w:eastAsia="en-GB"/>
              </w:rPr>
              <w:t>128</w:t>
            </w:r>
          </w:p>
        </w:tc>
        <w:tc>
          <w:tcPr>
            <w:tcW w:w="484" w:type="pct"/>
            <w:tcBorders>
              <w:top w:val="nil"/>
              <w:left w:val="nil"/>
              <w:bottom w:val="single" w:sz="8" w:space="0" w:color="auto"/>
              <w:right w:val="single" w:sz="8" w:space="0" w:color="auto"/>
            </w:tcBorders>
            <w:vAlign w:val="center"/>
          </w:tcPr>
          <w:p w14:paraId="5EB696AF" w14:textId="77777777" w:rsidR="00847FF6" w:rsidRPr="00B7014C" w:rsidRDefault="00847FF6" w:rsidP="00890082">
            <w:pPr>
              <w:jc w:val="center"/>
              <w:rPr>
                <w:color w:val="000000"/>
                <w:sz w:val="22"/>
                <w:szCs w:val="22"/>
                <w:lang w:eastAsia="en-GB"/>
              </w:rPr>
            </w:pPr>
            <w:r w:rsidRPr="00B7014C">
              <w:rPr>
                <w:color w:val="000000"/>
                <w:sz w:val="22"/>
                <w:szCs w:val="22"/>
                <w:lang w:eastAsia="en-GB"/>
              </w:rPr>
              <w:t>100</w:t>
            </w:r>
          </w:p>
        </w:tc>
        <w:tc>
          <w:tcPr>
            <w:tcW w:w="485" w:type="pct"/>
            <w:tcBorders>
              <w:top w:val="nil"/>
              <w:left w:val="nil"/>
              <w:bottom w:val="single" w:sz="8" w:space="0" w:color="auto"/>
              <w:right w:val="single" w:sz="8" w:space="0" w:color="auto"/>
            </w:tcBorders>
            <w:vAlign w:val="center"/>
          </w:tcPr>
          <w:p w14:paraId="1DBFA2CD" w14:textId="77777777" w:rsidR="00847FF6" w:rsidRPr="00B7014C" w:rsidRDefault="00847FF6" w:rsidP="00890082">
            <w:pPr>
              <w:jc w:val="center"/>
              <w:rPr>
                <w:color w:val="000000"/>
                <w:sz w:val="22"/>
                <w:szCs w:val="22"/>
                <w:lang w:eastAsia="en-GB"/>
              </w:rPr>
            </w:pPr>
            <w:r>
              <w:rPr>
                <w:color w:val="000000"/>
                <w:sz w:val="22"/>
                <w:szCs w:val="22"/>
                <w:lang w:eastAsia="en-GB"/>
              </w:rPr>
              <w:t>89</w:t>
            </w:r>
          </w:p>
        </w:tc>
        <w:tc>
          <w:tcPr>
            <w:tcW w:w="483" w:type="pct"/>
            <w:tcBorders>
              <w:top w:val="nil"/>
              <w:left w:val="nil"/>
              <w:bottom w:val="single" w:sz="8" w:space="0" w:color="auto"/>
              <w:right w:val="single" w:sz="8" w:space="0" w:color="auto"/>
            </w:tcBorders>
            <w:vAlign w:val="center"/>
          </w:tcPr>
          <w:p w14:paraId="5BD5432D" w14:textId="77777777" w:rsidR="00847FF6" w:rsidRDefault="00847FF6" w:rsidP="00890082">
            <w:pPr>
              <w:jc w:val="center"/>
              <w:rPr>
                <w:color w:val="000000"/>
                <w:sz w:val="22"/>
                <w:szCs w:val="22"/>
                <w:lang w:eastAsia="en-GB"/>
              </w:rPr>
            </w:pPr>
            <w:r>
              <w:rPr>
                <w:color w:val="000000"/>
                <w:sz w:val="22"/>
                <w:szCs w:val="22"/>
                <w:lang w:eastAsia="en-GB"/>
              </w:rPr>
              <w:t>55</w:t>
            </w:r>
          </w:p>
        </w:tc>
      </w:tr>
      <w:tr w:rsidR="00847FF6" w:rsidRPr="00B7014C" w14:paraId="0E0286F2" w14:textId="77777777" w:rsidTr="00890082">
        <w:trPr>
          <w:trHeight w:val="315"/>
        </w:trPr>
        <w:tc>
          <w:tcPr>
            <w:tcW w:w="2105" w:type="pct"/>
            <w:tcBorders>
              <w:top w:val="nil"/>
              <w:left w:val="single" w:sz="8" w:space="0" w:color="auto"/>
              <w:bottom w:val="single" w:sz="8" w:space="0" w:color="auto"/>
              <w:right w:val="single" w:sz="8" w:space="0" w:color="auto"/>
            </w:tcBorders>
            <w:shd w:val="clear" w:color="auto" w:fill="auto"/>
            <w:noWrap/>
            <w:vAlign w:val="center"/>
            <w:hideMark/>
          </w:tcPr>
          <w:p w14:paraId="640C91B6" w14:textId="77777777" w:rsidR="00847FF6" w:rsidRPr="00B7014C" w:rsidRDefault="00847FF6" w:rsidP="00890082">
            <w:pPr>
              <w:rPr>
                <w:color w:val="000000"/>
                <w:sz w:val="22"/>
                <w:szCs w:val="22"/>
                <w:lang w:eastAsia="en-GB"/>
              </w:rPr>
            </w:pPr>
            <w:r w:rsidRPr="00B7014C">
              <w:rPr>
                <w:color w:val="000000"/>
                <w:sz w:val="22"/>
                <w:szCs w:val="22"/>
                <w:lang w:eastAsia="en-GB"/>
              </w:rPr>
              <w:t>High Schools in Slough</w:t>
            </w:r>
          </w:p>
        </w:tc>
        <w:tc>
          <w:tcPr>
            <w:tcW w:w="481" w:type="pct"/>
            <w:tcBorders>
              <w:top w:val="nil"/>
              <w:left w:val="nil"/>
              <w:bottom w:val="single" w:sz="8" w:space="0" w:color="auto"/>
              <w:right w:val="single" w:sz="8" w:space="0" w:color="auto"/>
            </w:tcBorders>
            <w:shd w:val="clear" w:color="auto" w:fill="auto"/>
            <w:noWrap/>
            <w:vAlign w:val="center"/>
            <w:hideMark/>
          </w:tcPr>
          <w:p w14:paraId="513ED9D8" w14:textId="77777777" w:rsidR="00847FF6" w:rsidRPr="00B7014C" w:rsidRDefault="00847FF6" w:rsidP="00890082">
            <w:pPr>
              <w:jc w:val="center"/>
              <w:rPr>
                <w:color w:val="000000"/>
                <w:sz w:val="22"/>
                <w:szCs w:val="22"/>
                <w:lang w:eastAsia="en-GB"/>
              </w:rPr>
            </w:pPr>
            <w:r w:rsidRPr="00B7014C">
              <w:rPr>
                <w:color w:val="000000"/>
                <w:sz w:val="22"/>
                <w:szCs w:val="22"/>
                <w:lang w:eastAsia="en-GB"/>
              </w:rPr>
              <w:t>84</w:t>
            </w:r>
          </w:p>
        </w:tc>
        <w:tc>
          <w:tcPr>
            <w:tcW w:w="481" w:type="pct"/>
            <w:tcBorders>
              <w:top w:val="nil"/>
              <w:left w:val="nil"/>
              <w:bottom w:val="single" w:sz="8" w:space="0" w:color="auto"/>
              <w:right w:val="single" w:sz="8" w:space="0" w:color="auto"/>
            </w:tcBorders>
            <w:shd w:val="clear" w:color="auto" w:fill="auto"/>
            <w:noWrap/>
            <w:vAlign w:val="center"/>
            <w:hideMark/>
          </w:tcPr>
          <w:p w14:paraId="73380E6E" w14:textId="77777777" w:rsidR="00847FF6" w:rsidRPr="00B7014C" w:rsidRDefault="00847FF6" w:rsidP="00890082">
            <w:pPr>
              <w:jc w:val="center"/>
              <w:rPr>
                <w:color w:val="000000"/>
                <w:sz w:val="22"/>
                <w:szCs w:val="22"/>
                <w:lang w:eastAsia="en-GB"/>
              </w:rPr>
            </w:pPr>
            <w:r w:rsidRPr="00B7014C">
              <w:rPr>
                <w:color w:val="000000"/>
                <w:sz w:val="22"/>
                <w:szCs w:val="22"/>
                <w:lang w:eastAsia="en-GB"/>
              </w:rPr>
              <w:t>84</w:t>
            </w:r>
          </w:p>
        </w:tc>
        <w:tc>
          <w:tcPr>
            <w:tcW w:w="481" w:type="pct"/>
            <w:tcBorders>
              <w:top w:val="nil"/>
              <w:left w:val="nil"/>
              <w:bottom w:val="single" w:sz="8" w:space="0" w:color="auto"/>
              <w:right w:val="single" w:sz="8" w:space="0" w:color="auto"/>
            </w:tcBorders>
            <w:shd w:val="clear" w:color="auto" w:fill="auto"/>
            <w:noWrap/>
            <w:vAlign w:val="center"/>
            <w:hideMark/>
          </w:tcPr>
          <w:p w14:paraId="488E7F6E" w14:textId="77777777" w:rsidR="00847FF6" w:rsidRPr="00B7014C" w:rsidRDefault="00847FF6" w:rsidP="00890082">
            <w:pPr>
              <w:jc w:val="center"/>
              <w:rPr>
                <w:color w:val="000000"/>
                <w:sz w:val="22"/>
                <w:szCs w:val="22"/>
                <w:lang w:eastAsia="en-GB"/>
              </w:rPr>
            </w:pPr>
            <w:r w:rsidRPr="00B7014C">
              <w:rPr>
                <w:color w:val="000000"/>
                <w:sz w:val="22"/>
                <w:szCs w:val="22"/>
                <w:lang w:eastAsia="en-GB"/>
              </w:rPr>
              <w:t>80</w:t>
            </w:r>
          </w:p>
        </w:tc>
        <w:tc>
          <w:tcPr>
            <w:tcW w:w="484" w:type="pct"/>
            <w:tcBorders>
              <w:top w:val="nil"/>
              <w:left w:val="nil"/>
              <w:bottom w:val="single" w:sz="8" w:space="0" w:color="auto"/>
              <w:right w:val="single" w:sz="8" w:space="0" w:color="auto"/>
            </w:tcBorders>
            <w:vAlign w:val="center"/>
          </w:tcPr>
          <w:p w14:paraId="1DBB8757" w14:textId="77777777" w:rsidR="00847FF6" w:rsidRPr="00B7014C" w:rsidRDefault="00847FF6" w:rsidP="00890082">
            <w:pPr>
              <w:jc w:val="center"/>
              <w:rPr>
                <w:color w:val="000000"/>
                <w:sz w:val="22"/>
                <w:szCs w:val="22"/>
                <w:lang w:eastAsia="en-GB"/>
              </w:rPr>
            </w:pPr>
            <w:r w:rsidRPr="00B7014C">
              <w:rPr>
                <w:color w:val="000000"/>
                <w:sz w:val="22"/>
                <w:szCs w:val="22"/>
                <w:lang w:eastAsia="en-GB"/>
              </w:rPr>
              <w:t>87</w:t>
            </w:r>
          </w:p>
        </w:tc>
        <w:tc>
          <w:tcPr>
            <w:tcW w:w="485" w:type="pct"/>
            <w:tcBorders>
              <w:top w:val="nil"/>
              <w:left w:val="nil"/>
              <w:bottom w:val="single" w:sz="8" w:space="0" w:color="auto"/>
              <w:right w:val="single" w:sz="8" w:space="0" w:color="auto"/>
            </w:tcBorders>
            <w:vAlign w:val="center"/>
          </w:tcPr>
          <w:p w14:paraId="3E43C90E" w14:textId="77777777" w:rsidR="00847FF6" w:rsidRPr="00B7014C" w:rsidRDefault="00847FF6" w:rsidP="00890082">
            <w:pPr>
              <w:jc w:val="center"/>
              <w:rPr>
                <w:color w:val="000000"/>
                <w:sz w:val="22"/>
                <w:szCs w:val="22"/>
                <w:lang w:eastAsia="en-GB"/>
              </w:rPr>
            </w:pPr>
            <w:r>
              <w:rPr>
                <w:color w:val="000000"/>
                <w:sz w:val="22"/>
                <w:szCs w:val="22"/>
                <w:lang w:eastAsia="en-GB"/>
              </w:rPr>
              <w:t>88</w:t>
            </w:r>
          </w:p>
        </w:tc>
        <w:tc>
          <w:tcPr>
            <w:tcW w:w="483" w:type="pct"/>
            <w:tcBorders>
              <w:top w:val="nil"/>
              <w:left w:val="nil"/>
              <w:bottom w:val="single" w:sz="8" w:space="0" w:color="auto"/>
              <w:right w:val="single" w:sz="8" w:space="0" w:color="auto"/>
            </w:tcBorders>
            <w:vAlign w:val="center"/>
          </w:tcPr>
          <w:p w14:paraId="4984FD9F" w14:textId="77777777" w:rsidR="00847FF6" w:rsidRDefault="00847FF6" w:rsidP="00890082">
            <w:pPr>
              <w:jc w:val="center"/>
              <w:rPr>
                <w:color w:val="000000"/>
                <w:sz w:val="22"/>
                <w:szCs w:val="22"/>
                <w:lang w:eastAsia="en-GB"/>
              </w:rPr>
            </w:pPr>
            <w:r>
              <w:rPr>
                <w:color w:val="000000"/>
                <w:sz w:val="22"/>
                <w:szCs w:val="22"/>
                <w:lang w:eastAsia="en-GB"/>
              </w:rPr>
              <w:t>91</w:t>
            </w:r>
          </w:p>
        </w:tc>
      </w:tr>
      <w:tr w:rsidR="00847FF6" w:rsidRPr="00B7014C" w14:paraId="0A6FCF89" w14:textId="77777777" w:rsidTr="00890082">
        <w:trPr>
          <w:trHeight w:val="315"/>
        </w:trPr>
        <w:tc>
          <w:tcPr>
            <w:tcW w:w="2105" w:type="pct"/>
            <w:tcBorders>
              <w:top w:val="nil"/>
              <w:left w:val="single" w:sz="8" w:space="0" w:color="auto"/>
              <w:bottom w:val="single" w:sz="8" w:space="0" w:color="auto"/>
              <w:right w:val="single" w:sz="8" w:space="0" w:color="auto"/>
            </w:tcBorders>
            <w:shd w:val="clear" w:color="auto" w:fill="auto"/>
            <w:noWrap/>
            <w:vAlign w:val="center"/>
            <w:hideMark/>
          </w:tcPr>
          <w:p w14:paraId="11FF9EA6" w14:textId="77777777" w:rsidR="00847FF6" w:rsidRPr="00B7014C" w:rsidRDefault="00847FF6" w:rsidP="00890082">
            <w:pPr>
              <w:rPr>
                <w:color w:val="000000"/>
                <w:sz w:val="22"/>
                <w:szCs w:val="22"/>
                <w:lang w:eastAsia="en-GB"/>
              </w:rPr>
            </w:pPr>
            <w:r w:rsidRPr="00B7014C">
              <w:rPr>
                <w:color w:val="000000"/>
                <w:sz w:val="22"/>
                <w:szCs w:val="22"/>
                <w:lang w:eastAsia="en-GB"/>
              </w:rPr>
              <w:t>High Schools in Hammersmith &amp; Fulham</w:t>
            </w:r>
          </w:p>
        </w:tc>
        <w:tc>
          <w:tcPr>
            <w:tcW w:w="481" w:type="pct"/>
            <w:tcBorders>
              <w:top w:val="nil"/>
              <w:left w:val="nil"/>
              <w:bottom w:val="single" w:sz="8" w:space="0" w:color="auto"/>
              <w:right w:val="single" w:sz="8" w:space="0" w:color="auto"/>
            </w:tcBorders>
            <w:shd w:val="clear" w:color="auto" w:fill="auto"/>
            <w:noWrap/>
            <w:vAlign w:val="center"/>
            <w:hideMark/>
          </w:tcPr>
          <w:p w14:paraId="16760AA4" w14:textId="77777777" w:rsidR="00847FF6" w:rsidRPr="00B7014C" w:rsidRDefault="00847FF6" w:rsidP="00890082">
            <w:pPr>
              <w:jc w:val="center"/>
              <w:rPr>
                <w:color w:val="000000"/>
                <w:sz w:val="22"/>
                <w:szCs w:val="22"/>
                <w:lang w:eastAsia="en-GB"/>
              </w:rPr>
            </w:pPr>
            <w:r w:rsidRPr="00B7014C">
              <w:rPr>
                <w:color w:val="000000"/>
                <w:sz w:val="22"/>
                <w:szCs w:val="22"/>
                <w:lang w:eastAsia="en-GB"/>
              </w:rPr>
              <w:t>63</w:t>
            </w:r>
          </w:p>
        </w:tc>
        <w:tc>
          <w:tcPr>
            <w:tcW w:w="481" w:type="pct"/>
            <w:tcBorders>
              <w:top w:val="nil"/>
              <w:left w:val="nil"/>
              <w:bottom w:val="single" w:sz="8" w:space="0" w:color="auto"/>
              <w:right w:val="single" w:sz="8" w:space="0" w:color="auto"/>
            </w:tcBorders>
            <w:shd w:val="clear" w:color="auto" w:fill="auto"/>
            <w:noWrap/>
            <w:vAlign w:val="center"/>
            <w:hideMark/>
          </w:tcPr>
          <w:p w14:paraId="4983023B" w14:textId="77777777" w:rsidR="00847FF6" w:rsidRPr="00B7014C" w:rsidRDefault="00847FF6" w:rsidP="00890082">
            <w:pPr>
              <w:jc w:val="center"/>
              <w:rPr>
                <w:color w:val="000000"/>
                <w:sz w:val="22"/>
                <w:szCs w:val="22"/>
                <w:lang w:eastAsia="en-GB"/>
              </w:rPr>
            </w:pPr>
            <w:r w:rsidRPr="00B7014C">
              <w:rPr>
                <w:color w:val="000000"/>
                <w:sz w:val="22"/>
                <w:szCs w:val="22"/>
                <w:lang w:eastAsia="en-GB"/>
              </w:rPr>
              <w:t>54</w:t>
            </w:r>
          </w:p>
        </w:tc>
        <w:tc>
          <w:tcPr>
            <w:tcW w:w="481" w:type="pct"/>
            <w:tcBorders>
              <w:top w:val="nil"/>
              <w:left w:val="nil"/>
              <w:bottom w:val="single" w:sz="8" w:space="0" w:color="auto"/>
              <w:right w:val="single" w:sz="8" w:space="0" w:color="auto"/>
            </w:tcBorders>
            <w:shd w:val="clear" w:color="auto" w:fill="auto"/>
            <w:noWrap/>
            <w:vAlign w:val="center"/>
            <w:hideMark/>
          </w:tcPr>
          <w:p w14:paraId="41F9644E" w14:textId="77777777" w:rsidR="00847FF6" w:rsidRPr="00B7014C" w:rsidRDefault="00847FF6" w:rsidP="00890082">
            <w:pPr>
              <w:jc w:val="center"/>
              <w:rPr>
                <w:color w:val="000000"/>
                <w:sz w:val="22"/>
                <w:szCs w:val="22"/>
                <w:lang w:eastAsia="en-GB"/>
              </w:rPr>
            </w:pPr>
            <w:r w:rsidRPr="00B7014C">
              <w:rPr>
                <w:color w:val="000000"/>
                <w:sz w:val="22"/>
                <w:szCs w:val="22"/>
                <w:lang w:eastAsia="en-GB"/>
              </w:rPr>
              <w:t>54</w:t>
            </w:r>
          </w:p>
        </w:tc>
        <w:tc>
          <w:tcPr>
            <w:tcW w:w="484" w:type="pct"/>
            <w:tcBorders>
              <w:top w:val="nil"/>
              <w:left w:val="nil"/>
              <w:bottom w:val="single" w:sz="8" w:space="0" w:color="auto"/>
              <w:right w:val="single" w:sz="8" w:space="0" w:color="auto"/>
            </w:tcBorders>
            <w:vAlign w:val="center"/>
          </w:tcPr>
          <w:p w14:paraId="1789DA22" w14:textId="77777777" w:rsidR="00847FF6" w:rsidRPr="00B7014C" w:rsidRDefault="00847FF6" w:rsidP="00890082">
            <w:pPr>
              <w:jc w:val="center"/>
              <w:rPr>
                <w:color w:val="000000"/>
                <w:sz w:val="22"/>
                <w:szCs w:val="22"/>
                <w:lang w:eastAsia="en-GB"/>
              </w:rPr>
            </w:pPr>
            <w:r w:rsidRPr="00B7014C">
              <w:rPr>
                <w:color w:val="000000"/>
                <w:sz w:val="22"/>
                <w:szCs w:val="22"/>
                <w:lang w:eastAsia="en-GB"/>
              </w:rPr>
              <w:t>49</w:t>
            </w:r>
          </w:p>
        </w:tc>
        <w:tc>
          <w:tcPr>
            <w:tcW w:w="485" w:type="pct"/>
            <w:tcBorders>
              <w:top w:val="nil"/>
              <w:left w:val="nil"/>
              <w:bottom w:val="single" w:sz="8" w:space="0" w:color="auto"/>
              <w:right w:val="single" w:sz="8" w:space="0" w:color="auto"/>
            </w:tcBorders>
            <w:vAlign w:val="center"/>
          </w:tcPr>
          <w:p w14:paraId="1E81FD01" w14:textId="77777777" w:rsidR="00847FF6" w:rsidRPr="00B7014C" w:rsidRDefault="00847FF6" w:rsidP="00890082">
            <w:pPr>
              <w:jc w:val="center"/>
              <w:rPr>
                <w:color w:val="000000"/>
                <w:sz w:val="22"/>
                <w:szCs w:val="22"/>
                <w:lang w:eastAsia="en-GB"/>
              </w:rPr>
            </w:pPr>
            <w:r>
              <w:rPr>
                <w:color w:val="000000"/>
                <w:sz w:val="22"/>
                <w:szCs w:val="22"/>
                <w:lang w:eastAsia="en-GB"/>
              </w:rPr>
              <w:t>48</w:t>
            </w:r>
          </w:p>
        </w:tc>
        <w:tc>
          <w:tcPr>
            <w:tcW w:w="483" w:type="pct"/>
            <w:tcBorders>
              <w:top w:val="nil"/>
              <w:left w:val="nil"/>
              <w:bottom w:val="single" w:sz="8" w:space="0" w:color="auto"/>
              <w:right w:val="single" w:sz="8" w:space="0" w:color="auto"/>
            </w:tcBorders>
            <w:vAlign w:val="center"/>
          </w:tcPr>
          <w:p w14:paraId="7BD3E11B" w14:textId="77777777" w:rsidR="00847FF6" w:rsidRDefault="00847FF6" w:rsidP="00890082">
            <w:pPr>
              <w:jc w:val="center"/>
              <w:rPr>
                <w:color w:val="000000"/>
                <w:sz w:val="22"/>
                <w:szCs w:val="22"/>
                <w:lang w:eastAsia="en-GB"/>
              </w:rPr>
            </w:pPr>
            <w:r>
              <w:rPr>
                <w:color w:val="000000"/>
                <w:sz w:val="22"/>
                <w:szCs w:val="22"/>
                <w:lang w:eastAsia="en-GB"/>
              </w:rPr>
              <w:t>43</w:t>
            </w:r>
          </w:p>
        </w:tc>
      </w:tr>
      <w:tr w:rsidR="00847FF6" w:rsidRPr="00B7014C" w14:paraId="7D7BAF61" w14:textId="77777777" w:rsidTr="00890082">
        <w:trPr>
          <w:trHeight w:val="315"/>
        </w:trPr>
        <w:tc>
          <w:tcPr>
            <w:tcW w:w="2105" w:type="pct"/>
            <w:tcBorders>
              <w:top w:val="nil"/>
              <w:left w:val="single" w:sz="8" w:space="0" w:color="auto"/>
              <w:bottom w:val="single" w:sz="8" w:space="0" w:color="auto"/>
              <w:right w:val="single" w:sz="8" w:space="0" w:color="auto"/>
            </w:tcBorders>
            <w:shd w:val="clear" w:color="auto" w:fill="auto"/>
            <w:noWrap/>
            <w:vAlign w:val="center"/>
            <w:hideMark/>
          </w:tcPr>
          <w:p w14:paraId="7E795EA8" w14:textId="77777777" w:rsidR="00847FF6" w:rsidRPr="00B7014C" w:rsidRDefault="00847FF6" w:rsidP="00890082">
            <w:pPr>
              <w:rPr>
                <w:color w:val="000000"/>
                <w:sz w:val="22"/>
                <w:szCs w:val="22"/>
                <w:lang w:eastAsia="en-GB"/>
              </w:rPr>
            </w:pPr>
            <w:r w:rsidRPr="00B7014C">
              <w:rPr>
                <w:color w:val="000000"/>
                <w:sz w:val="22"/>
                <w:szCs w:val="22"/>
                <w:lang w:eastAsia="en-GB"/>
              </w:rPr>
              <w:t>Other LAs</w:t>
            </w:r>
          </w:p>
        </w:tc>
        <w:tc>
          <w:tcPr>
            <w:tcW w:w="481" w:type="pct"/>
            <w:tcBorders>
              <w:top w:val="nil"/>
              <w:left w:val="nil"/>
              <w:bottom w:val="single" w:sz="8" w:space="0" w:color="auto"/>
              <w:right w:val="single" w:sz="8" w:space="0" w:color="auto"/>
            </w:tcBorders>
            <w:shd w:val="clear" w:color="auto" w:fill="auto"/>
            <w:noWrap/>
            <w:vAlign w:val="center"/>
            <w:hideMark/>
          </w:tcPr>
          <w:p w14:paraId="11315376" w14:textId="77777777" w:rsidR="00847FF6" w:rsidRPr="00B7014C" w:rsidRDefault="00847FF6" w:rsidP="00890082">
            <w:pPr>
              <w:jc w:val="center"/>
              <w:rPr>
                <w:color w:val="000000"/>
                <w:sz w:val="22"/>
                <w:szCs w:val="22"/>
                <w:lang w:eastAsia="en-GB"/>
              </w:rPr>
            </w:pPr>
            <w:r w:rsidRPr="00B7014C">
              <w:rPr>
                <w:color w:val="000000"/>
                <w:sz w:val="22"/>
                <w:szCs w:val="22"/>
                <w:lang w:eastAsia="en-GB"/>
              </w:rPr>
              <w:t>77</w:t>
            </w:r>
          </w:p>
        </w:tc>
        <w:tc>
          <w:tcPr>
            <w:tcW w:w="481" w:type="pct"/>
            <w:tcBorders>
              <w:top w:val="nil"/>
              <w:left w:val="nil"/>
              <w:bottom w:val="single" w:sz="8" w:space="0" w:color="auto"/>
              <w:right w:val="single" w:sz="8" w:space="0" w:color="auto"/>
            </w:tcBorders>
            <w:shd w:val="clear" w:color="auto" w:fill="auto"/>
            <w:noWrap/>
            <w:vAlign w:val="center"/>
            <w:hideMark/>
          </w:tcPr>
          <w:p w14:paraId="2C5B963B" w14:textId="77777777" w:rsidR="00847FF6" w:rsidRPr="00B7014C" w:rsidRDefault="00847FF6" w:rsidP="00890082">
            <w:pPr>
              <w:jc w:val="center"/>
              <w:rPr>
                <w:color w:val="000000"/>
                <w:sz w:val="22"/>
                <w:szCs w:val="22"/>
                <w:lang w:eastAsia="en-GB"/>
              </w:rPr>
            </w:pPr>
            <w:r w:rsidRPr="00B7014C">
              <w:rPr>
                <w:color w:val="000000"/>
                <w:sz w:val="22"/>
                <w:szCs w:val="22"/>
                <w:lang w:eastAsia="en-GB"/>
              </w:rPr>
              <w:t>88</w:t>
            </w:r>
          </w:p>
        </w:tc>
        <w:tc>
          <w:tcPr>
            <w:tcW w:w="481" w:type="pct"/>
            <w:tcBorders>
              <w:top w:val="nil"/>
              <w:left w:val="nil"/>
              <w:bottom w:val="single" w:sz="8" w:space="0" w:color="auto"/>
              <w:right w:val="single" w:sz="8" w:space="0" w:color="auto"/>
            </w:tcBorders>
            <w:shd w:val="clear" w:color="auto" w:fill="auto"/>
            <w:noWrap/>
            <w:vAlign w:val="center"/>
            <w:hideMark/>
          </w:tcPr>
          <w:p w14:paraId="509F3065" w14:textId="77777777" w:rsidR="00847FF6" w:rsidRPr="00B7014C" w:rsidRDefault="00847FF6" w:rsidP="00890082">
            <w:pPr>
              <w:jc w:val="center"/>
              <w:rPr>
                <w:color w:val="000000"/>
                <w:sz w:val="22"/>
                <w:szCs w:val="22"/>
                <w:lang w:eastAsia="en-GB"/>
              </w:rPr>
            </w:pPr>
            <w:r w:rsidRPr="00B7014C">
              <w:rPr>
                <w:color w:val="000000"/>
                <w:sz w:val="22"/>
                <w:szCs w:val="22"/>
                <w:lang w:eastAsia="en-GB"/>
              </w:rPr>
              <w:t>92</w:t>
            </w:r>
          </w:p>
        </w:tc>
        <w:tc>
          <w:tcPr>
            <w:tcW w:w="484" w:type="pct"/>
            <w:tcBorders>
              <w:top w:val="nil"/>
              <w:left w:val="nil"/>
              <w:bottom w:val="single" w:sz="8" w:space="0" w:color="auto"/>
              <w:right w:val="single" w:sz="8" w:space="0" w:color="auto"/>
            </w:tcBorders>
            <w:vAlign w:val="center"/>
          </w:tcPr>
          <w:p w14:paraId="0610802A" w14:textId="77777777" w:rsidR="00847FF6" w:rsidRPr="00B7014C" w:rsidRDefault="00847FF6" w:rsidP="00890082">
            <w:pPr>
              <w:jc w:val="center"/>
              <w:rPr>
                <w:color w:val="000000"/>
                <w:sz w:val="22"/>
                <w:szCs w:val="22"/>
                <w:lang w:eastAsia="en-GB"/>
              </w:rPr>
            </w:pPr>
            <w:r w:rsidRPr="00B7014C">
              <w:rPr>
                <w:color w:val="000000"/>
                <w:sz w:val="22"/>
                <w:szCs w:val="22"/>
                <w:lang w:eastAsia="en-GB"/>
              </w:rPr>
              <w:t>105</w:t>
            </w:r>
          </w:p>
        </w:tc>
        <w:tc>
          <w:tcPr>
            <w:tcW w:w="485" w:type="pct"/>
            <w:tcBorders>
              <w:top w:val="nil"/>
              <w:left w:val="nil"/>
              <w:bottom w:val="single" w:sz="8" w:space="0" w:color="auto"/>
              <w:right w:val="single" w:sz="8" w:space="0" w:color="auto"/>
            </w:tcBorders>
            <w:vAlign w:val="center"/>
          </w:tcPr>
          <w:p w14:paraId="42118D32" w14:textId="77777777" w:rsidR="00847FF6" w:rsidRPr="00B7014C" w:rsidRDefault="00847FF6" w:rsidP="00890082">
            <w:pPr>
              <w:jc w:val="center"/>
              <w:rPr>
                <w:color w:val="000000"/>
                <w:sz w:val="22"/>
                <w:szCs w:val="22"/>
                <w:lang w:eastAsia="en-GB"/>
              </w:rPr>
            </w:pPr>
            <w:r>
              <w:rPr>
                <w:color w:val="000000"/>
                <w:sz w:val="22"/>
                <w:szCs w:val="22"/>
                <w:lang w:eastAsia="en-GB"/>
              </w:rPr>
              <w:t>98</w:t>
            </w:r>
          </w:p>
        </w:tc>
        <w:tc>
          <w:tcPr>
            <w:tcW w:w="483" w:type="pct"/>
            <w:tcBorders>
              <w:top w:val="nil"/>
              <w:left w:val="nil"/>
              <w:bottom w:val="single" w:sz="8" w:space="0" w:color="auto"/>
              <w:right w:val="single" w:sz="8" w:space="0" w:color="auto"/>
            </w:tcBorders>
            <w:vAlign w:val="center"/>
          </w:tcPr>
          <w:p w14:paraId="36628B02" w14:textId="77777777" w:rsidR="00847FF6" w:rsidRDefault="00847FF6" w:rsidP="00890082">
            <w:pPr>
              <w:jc w:val="center"/>
              <w:rPr>
                <w:color w:val="000000"/>
                <w:sz w:val="22"/>
                <w:szCs w:val="22"/>
                <w:lang w:eastAsia="en-GB"/>
              </w:rPr>
            </w:pPr>
            <w:r>
              <w:rPr>
                <w:color w:val="000000"/>
                <w:sz w:val="22"/>
                <w:szCs w:val="22"/>
                <w:lang w:eastAsia="en-GB"/>
              </w:rPr>
              <w:t>98</w:t>
            </w:r>
          </w:p>
        </w:tc>
      </w:tr>
      <w:tr w:rsidR="00847FF6" w:rsidRPr="00B7014C" w14:paraId="3D879449" w14:textId="77777777" w:rsidTr="00890082">
        <w:trPr>
          <w:trHeight w:val="330"/>
        </w:trPr>
        <w:tc>
          <w:tcPr>
            <w:tcW w:w="2105" w:type="pct"/>
            <w:tcBorders>
              <w:top w:val="nil"/>
              <w:left w:val="single" w:sz="8" w:space="0" w:color="auto"/>
              <w:bottom w:val="single" w:sz="8" w:space="0" w:color="auto"/>
              <w:right w:val="single" w:sz="8" w:space="0" w:color="auto"/>
            </w:tcBorders>
            <w:shd w:val="clear" w:color="auto" w:fill="auto"/>
            <w:noWrap/>
            <w:vAlign w:val="center"/>
            <w:hideMark/>
          </w:tcPr>
          <w:p w14:paraId="0D040C69" w14:textId="77777777" w:rsidR="00847FF6" w:rsidRPr="00B7014C" w:rsidRDefault="00847FF6" w:rsidP="00890082">
            <w:pPr>
              <w:rPr>
                <w:b/>
                <w:bCs/>
                <w:color w:val="000000"/>
                <w:sz w:val="22"/>
                <w:szCs w:val="22"/>
                <w:lang w:eastAsia="en-GB"/>
              </w:rPr>
            </w:pPr>
            <w:r w:rsidRPr="00B7014C">
              <w:rPr>
                <w:b/>
                <w:bCs/>
                <w:color w:val="000000"/>
                <w:sz w:val="22"/>
                <w:szCs w:val="22"/>
                <w:lang w:eastAsia="en-GB"/>
              </w:rPr>
              <w:t>Total Harrow resident pupils exported</w:t>
            </w:r>
          </w:p>
        </w:tc>
        <w:tc>
          <w:tcPr>
            <w:tcW w:w="481" w:type="pct"/>
            <w:tcBorders>
              <w:top w:val="nil"/>
              <w:left w:val="nil"/>
              <w:bottom w:val="single" w:sz="8" w:space="0" w:color="auto"/>
              <w:right w:val="single" w:sz="8" w:space="0" w:color="auto"/>
            </w:tcBorders>
            <w:shd w:val="clear" w:color="auto" w:fill="auto"/>
            <w:noWrap/>
            <w:vAlign w:val="center"/>
            <w:hideMark/>
          </w:tcPr>
          <w:p w14:paraId="6F5CC879" w14:textId="77777777" w:rsidR="00847FF6" w:rsidRPr="00B7014C" w:rsidRDefault="00847FF6" w:rsidP="00890082">
            <w:pPr>
              <w:jc w:val="center"/>
              <w:rPr>
                <w:b/>
                <w:bCs/>
                <w:color w:val="000000"/>
                <w:sz w:val="22"/>
                <w:szCs w:val="22"/>
                <w:lang w:eastAsia="en-GB"/>
              </w:rPr>
            </w:pPr>
            <w:r w:rsidRPr="00B7014C">
              <w:rPr>
                <w:b/>
                <w:bCs/>
                <w:color w:val="000000"/>
                <w:sz w:val="22"/>
                <w:szCs w:val="22"/>
                <w:lang w:eastAsia="en-GB"/>
              </w:rPr>
              <w:t>3,581</w:t>
            </w:r>
          </w:p>
        </w:tc>
        <w:tc>
          <w:tcPr>
            <w:tcW w:w="481" w:type="pct"/>
            <w:tcBorders>
              <w:top w:val="nil"/>
              <w:left w:val="nil"/>
              <w:bottom w:val="single" w:sz="8" w:space="0" w:color="auto"/>
              <w:right w:val="single" w:sz="8" w:space="0" w:color="auto"/>
            </w:tcBorders>
            <w:shd w:val="clear" w:color="auto" w:fill="auto"/>
            <w:noWrap/>
            <w:vAlign w:val="center"/>
            <w:hideMark/>
          </w:tcPr>
          <w:p w14:paraId="5583A9DD" w14:textId="77777777" w:rsidR="00847FF6" w:rsidRPr="00B7014C" w:rsidRDefault="00847FF6" w:rsidP="00890082">
            <w:pPr>
              <w:jc w:val="center"/>
              <w:rPr>
                <w:b/>
                <w:bCs/>
                <w:color w:val="000000"/>
                <w:sz w:val="22"/>
                <w:szCs w:val="22"/>
                <w:lang w:eastAsia="en-GB"/>
              </w:rPr>
            </w:pPr>
            <w:r w:rsidRPr="00B7014C">
              <w:rPr>
                <w:b/>
                <w:bCs/>
                <w:color w:val="000000"/>
                <w:sz w:val="22"/>
                <w:szCs w:val="22"/>
                <w:lang w:eastAsia="en-GB"/>
              </w:rPr>
              <w:t>3,707</w:t>
            </w:r>
          </w:p>
        </w:tc>
        <w:tc>
          <w:tcPr>
            <w:tcW w:w="481" w:type="pct"/>
            <w:tcBorders>
              <w:top w:val="nil"/>
              <w:left w:val="nil"/>
              <w:bottom w:val="single" w:sz="8" w:space="0" w:color="auto"/>
              <w:right w:val="single" w:sz="8" w:space="0" w:color="auto"/>
            </w:tcBorders>
            <w:shd w:val="clear" w:color="auto" w:fill="auto"/>
            <w:noWrap/>
            <w:vAlign w:val="center"/>
            <w:hideMark/>
          </w:tcPr>
          <w:p w14:paraId="3718704F" w14:textId="77777777" w:rsidR="00847FF6" w:rsidRPr="00B7014C" w:rsidRDefault="00847FF6" w:rsidP="00890082">
            <w:pPr>
              <w:jc w:val="center"/>
              <w:rPr>
                <w:b/>
                <w:bCs/>
                <w:color w:val="000000"/>
                <w:sz w:val="22"/>
                <w:szCs w:val="22"/>
                <w:lang w:eastAsia="en-GB"/>
              </w:rPr>
            </w:pPr>
            <w:r w:rsidRPr="00B7014C">
              <w:rPr>
                <w:b/>
                <w:bCs/>
                <w:color w:val="000000"/>
                <w:sz w:val="22"/>
                <w:szCs w:val="22"/>
                <w:lang w:eastAsia="en-GB"/>
              </w:rPr>
              <w:t>3,747</w:t>
            </w:r>
          </w:p>
        </w:tc>
        <w:tc>
          <w:tcPr>
            <w:tcW w:w="484" w:type="pct"/>
            <w:tcBorders>
              <w:top w:val="nil"/>
              <w:left w:val="nil"/>
              <w:bottom w:val="single" w:sz="8" w:space="0" w:color="auto"/>
              <w:right w:val="single" w:sz="8" w:space="0" w:color="auto"/>
            </w:tcBorders>
            <w:vAlign w:val="center"/>
          </w:tcPr>
          <w:p w14:paraId="3F994531" w14:textId="77777777" w:rsidR="00847FF6" w:rsidRPr="00B7014C" w:rsidRDefault="00847FF6" w:rsidP="00890082">
            <w:pPr>
              <w:jc w:val="center"/>
              <w:rPr>
                <w:b/>
                <w:bCs/>
                <w:color w:val="000000"/>
                <w:sz w:val="22"/>
                <w:szCs w:val="22"/>
                <w:lang w:eastAsia="en-GB"/>
              </w:rPr>
            </w:pPr>
            <w:r w:rsidRPr="00B7014C">
              <w:rPr>
                <w:b/>
                <w:bCs/>
                <w:color w:val="000000"/>
                <w:sz w:val="22"/>
                <w:szCs w:val="22"/>
                <w:lang w:eastAsia="en-GB"/>
              </w:rPr>
              <w:t>3,640</w:t>
            </w:r>
          </w:p>
        </w:tc>
        <w:tc>
          <w:tcPr>
            <w:tcW w:w="485" w:type="pct"/>
            <w:tcBorders>
              <w:top w:val="nil"/>
              <w:left w:val="nil"/>
              <w:bottom w:val="single" w:sz="8" w:space="0" w:color="auto"/>
              <w:right w:val="single" w:sz="8" w:space="0" w:color="auto"/>
            </w:tcBorders>
            <w:vAlign w:val="center"/>
          </w:tcPr>
          <w:p w14:paraId="76002F01" w14:textId="77777777" w:rsidR="00847FF6" w:rsidRPr="00B7014C" w:rsidRDefault="00847FF6" w:rsidP="00890082">
            <w:pPr>
              <w:jc w:val="center"/>
              <w:rPr>
                <w:b/>
                <w:bCs/>
                <w:color w:val="000000"/>
                <w:sz w:val="22"/>
                <w:szCs w:val="22"/>
                <w:lang w:eastAsia="en-GB"/>
              </w:rPr>
            </w:pPr>
            <w:r>
              <w:rPr>
                <w:b/>
                <w:bCs/>
                <w:color w:val="000000"/>
                <w:sz w:val="22"/>
                <w:szCs w:val="22"/>
                <w:lang w:eastAsia="en-GB"/>
              </w:rPr>
              <w:t>3,648</w:t>
            </w:r>
          </w:p>
        </w:tc>
        <w:tc>
          <w:tcPr>
            <w:tcW w:w="483" w:type="pct"/>
            <w:tcBorders>
              <w:top w:val="nil"/>
              <w:left w:val="nil"/>
              <w:bottom w:val="single" w:sz="8" w:space="0" w:color="auto"/>
              <w:right w:val="single" w:sz="8" w:space="0" w:color="auto"/>
            </w:tcBorders>
            <w:vAlign w:val="center"/>
          </w:tcPr>
          <w:p w14:paraId="00184123" w14:textId="77777777" w:rsidR="00847FF6" w:rsidRDefault="00847FF6" w:rsidP="00890082">
            <w:pPr>
              <w:jc w:val="center"/>
              <w:rPr>
                <w:b/>
                <w:bCs/>
                <w:color w:val="000000"/>
                <w:sz w:val="22"/>
                <w:szCs w:val="22"/>
                <w:lang w:eastAsia="en-GB"/>
              </w:rPr>
            </w:pPr>
            <w:r>
              <w:rPr>
                <w:b/>
                <w:bCs/>
                <w:color w:val="000000"/>
                <w:sz w:val="22"/>
                <w:szCs w:val="22"/>
                <w:lang w:eastAsia="en-GB"/>
              </w:rPr>
              <w:t>3,662</w:t>
            </w:r>
          </w:p>
        </w:tc>
      </w:tr>
    </w:tbl>
    <w:p w14:paraId="155093AF" w14:textId="77777777" w:rsidR="00847FF6" w:rsidRPr="00B7014C" w:rsidRDefault="00847FF6" w:rsidP="00847FF6">
      <w:pPr>
        <w:rPr>
          <w:sz w:val="20"/>
        </w:rPr>
      </w:pPr>
      <w:r w:rsidRPr="00B7014C">
        <w:rPr>
          <w:sz w:val="20"/>
        </w:rPr>
        <w:t>Source: DfE SFR Cross Border Movement</w:t>
      </w:r>
    </w:p>
    <w:p w14:paraId="4F3E558C" w14:textId="77777777" w:rsidR="00847FF6" w:rsidRPr="00B7014C" w:rsidRDefault="00847FF6" w:rsidP="00847FF6">
      <w:pPr>
        <w:rPr>
          <w:b/>
        </w:rPr>
      </w:pPr>
    </w:p>
    <w:p w14:paraId="2564C5CF" w14:textId="77777777" w:rsidR="00847FF6" w:rsidRPr="00B7014C" w:rsidRDefault="00847FF6" w:rsidP="00847FF6">
      <w:r w:rsidRPr="00B7014C">
        <w:t>Table 8 below shows the number of out of borough residents attending Harrow’s high schools over the last 4 years.  This number has increased from 2,148 in January 2017 to 2,</w:t>
      </w:r>
      <w:r>
        <w:t>514</w:t>
      </w:r>
      <w:r w:rsidRPr="00B7014C">
        <w:t xml:space="preserve"> in January 202</w:t>
      </w:r>
      <w:r>
        <w:t>2</w:t>
      </w:r>
      <w:r w:rsidRPr="00B7014C">
        <w:t>, which represents a 1</w:t>
      </w:r>
      <w:r>
        <w:t>7</w:t>
      </w:r>
      <w:r w:rsidRPr="00B7014C">
        <w:t>.</w:t>
      </w:r>
      <w:r>
        <w:t>0</w:t>
      </w:r>
      <w:r w:rsidRPr="00B7014C">
        <w:t>% (3</w:t>
      </w:r>
      <w:r>
        <w:t>66</w:t>
      </w:r>
      <w:r w:rsidRPr="00B7014C">
        <w:t xml:space="preserve"> pupils) increase from January 201</w:t>
      </w:r>
      <w:r>
        <w:t>7</w:t>
      </w:r>
      <w:r w:rsidRPr="00B7014C">
        <w:t xml:space="preserve"> to January 20</w:t>
      </w:r>
      <w:r>
        <w:t>22</w:t>
      </w:r>
      <w:r w:rsidRPr="00B7014C">
        <w:t xml:space="preserve">.  </w:t>
      </w:r>
    </w:p>
    <w:p w14:paraId="260569E5" w14:textId="77777777" w:rsidR="00847FF6" w:rsidRPr="00B7014C" w:rsidRDefault="00847FF6" w:rsidP="00847FF6">
      <w:r w:rsidRPr="00B7014C">
        <w:t xml:space="preserve"> </w:t>
      </w:r>
    </w:p>
    <w:p w14:paraId="38BC4BE9" w14:textId="77777777" w:rsidR="00847FF6" w:rsidRPr="00B7014C" w:rsidRDefault="00847FF6" w:rsidP="00847FF6">
      <w:r w:rsidRPr="00B7014C">
        <w:t xml:space="preserve">Table </w:t>
      </w:r>
      <w:r>
        <w:t>32</w:t>
      </w:r>
      <w:r w:rsidRPr="00B7014C">
        <w:t>: Borough of residence of Harrow’s high school pupils</w:t>
      </w:r>
    </w:p>
    <w:tbl>
      <w:tblPr>
        <w:tblW w:w="4955" w:type="pct"/>
        <w:tblLook w:val="04A0" w:firstRow="1" w:lastRow="0" w:firstColumn="1" w:lastColumn="0" w:noHBand="0" w:noVBand="1"/>
      </w:tblPr>
      <w:tblGrid>
        <w:gridCol w:w="4198"/>
        <w:gridCol w:w="983"/>
        <w:gridCol w:w="983"/>
        <w:gridCol w:w="983"/>
        <w:gridCol w:w="985"/>
        <w:gridCol w:w="983"/>
        <w:gridCol w:w="977"/>
      </w:tblGrid>
      <w:tr w:rsidR="00847FF6" w:rsidRPr="00B7014C" w14:paraId="3193D09B" w14:textId="77777777" w:rsidTr="00890082">
        <w:trPr>
          <w:trHeight w:val="330"/>
        </w:trPr>
        <w:tc>
          <w:tcPr>
            <w:tcW w:w="2080" w:type="pct"/>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2AB8FBB1" w14:textId="3A160471" w:rsidR="00847FF6" w:rsidRPr="00B7014C" w:rsidRDefault="00847FF6" w:rsidP="00890082">
            <w:pPr>
              <w:rPr>
                <w:b/>
                <w:bCs/>
                <w:color w:val="000000"/>
                <w:sz w:val="22"/>
                <w:szCs w:val="22"/>
                <w:lang w:eastAsia="en-GB"/>
              </w:rPr>
            </w:pPr>
            <w:r w:rsidRPr="00B7014C">
              <w:rPr>
                <w:b/>
                <w:bCs/>
                <w:color w:val="000000"/>
                <w:sz w:val="22"/>
                <w:szCs w:val="22"/>
                <w:lang w:eastAsia="en-GB"/>
              </w:rPr>
              <w:t>LA Name Residence</w:t>
            </w:r>
          </w:p>
        </w:tc>
        <w:tc>
          <w:tcPr>
            <w:tcW w:w="2920" w:type="pct"/>
            <w:gridSpan w:val="6"/>
            <w:tcBorders>
              <w:top w:val="single" w:sz="8" w:space="0" w:color="auto"/>
              <w:left w:val="nil"/>
              <w:bottom w:val="single" w:sz="8" w:space="0" w:color="auto"/>
              <w:right w:val="single" w:sz="8" w:space="0" w:color="000000"/>
            </w:tcBorders>
            <w:shd w:val="clear" w:color="auto" w:fill="auto"/>
            <w:vAlign w:val="center"/>
            <w:hideMark/>
          </w:tcPr>
          <w:p w14:paraId="159C8B2C" w14:textId="77777777" w:rsidR="00847FF6" w:rsidRPr="00B7014C" w:rsidRDefault="00847FF6" w:rsidP="00890082">
            <w:pPr>
              <w:jc w:val="center"/>
              <w:rPr>
                <w:b/>
                <w:bCs/>
                <w:color w:val="000000"/>
                <w:sz w:val="22"/>
                <w:szCs w:val="22"/>
                <w:lang w:eastAsia="en-GB"/>
              </w:rPr>
            </w:pPr>
            <w:r w:rsidRPr="00B7014C">
              <w:rPr>
                <w:b/>
                <w:bCs/>
                <w:color w:val="000000"/>
                <w:sz w:val="22"/>
                <w:szCs w:val="22"/>
                <w:lang w:eastAsia="en-GB"/>
              </w:rPr>
              <w:t>High Schools in Harrow</w:t>
            </w:r>
          </w:p>
        </w:tc>
      </w:tr>
      <w:tr w:rsidR="00847FF6" w:rsidRPr="00B7014C" w14:paraId="4998440F" w14:textId="77777777" w:rsidTr="00890082">
        <w:trPr>
          <w:trHeight w:val="330"/>
        </w:trPr>
        <w:tc>
          <w:tcPr>
            <w:tcW w:w="2080" w:type="pct"/>
            <w:vMerge/>
            <w:tcBorders>
              <w:top w:val="single" w:sz="8" w:space="0" w:color="auto"/>
              <w:left w:val="single" w:sz="8" w:space="0" w:color="auto"/>
              <w:bottom w:val="single" w:sz="8" w:space="0" w:color="000000"/>
              <w:right w:val="single" w:sz="8" w:space="0" w:color="auto"/>
            </w:tcBorders>
            <w:vAlign w:val="center"/>
            <w:hideMark/>
          </w:tcPr>
          <w:p w14:paraId="0EB697F0" w14:textId="77777777" w:rsidR="00847FF6" w:rsidRPr="00B7014C" w:rsidRDefault="00847FF6" w:rsidP="00890082">
            <w:pPr>
              <w:rPr>
                <w:b/>
                <w:bCs/>
                <w:color w:val="000000"/>
                <w:sz w:val="22"/>
                <w:szCs w:val="22"/>
                <w:lang w:eastAsia="en-GB"/>
              </w:rPr>
            </w:pPr>
          </w:p>
        </w:tc>
        <w:tc>
          <w:tcPr>
            <w:tcW w:w="487" w:type="pct"/>
            <w:tcBorders>
              <w:top w:val="nil"/>
              <w:left w:val="nil"/>
              <w:bottom w:val="single" w:sz="8" w:space="0" w:color="auto"/>
              <w:right w:val="single" w:sz="8" w:space="0" w:color="auto"/>
            </w:tcBorders>
            <w:shd w:val="clear" w:color="auto" w:fill="auto"/>
            <w:noWrap/>
            <w:vAlign w:val="center"/>
            <w:hideMark/>
          </w:tcPr>
          <w:p w14:paraId="0DEF8C8F" w14:textId="77777777" w:rsidR="00847FF6" w:rsidRPr="00B7014C" w:rsidRDefault="00847FF6" w:rsidP="00890082">
            <w:pPr>
              <w:jc w:val="center"/>
              <w:rPr>
                <w:b/>
                <w:bCs/>
                <w:color w:val="000000"/>
                <w:sz w:val="22"/>
                <w:szCs w:val="22"/>
                <w:lang w:eastAsia="en-GB"/>
              </w:rPr>
            </w:pPr>
            <w:r w:rsidRPr="00B7014C">
              <w:rPr>
                <w:b/>
                <w:bCs/>
                <w:color w:val="000000"/>
                <w:sz w:val="22"/>
                <w:szCs w:val="22"/>
                <w:lang w:eastAsia="en-GB"/>
              </w:rPr>
              <w:t>Jan-17</w:t>
            </w:r>
          </w:p>
        </w:tc>
        <w:tc>
          <w:tcPr>
            <w:tcW w:w="487" w:type="pct"/>
            <w:tcBorders>
              <w:top w:val="nil"/>
              <w:left w:val="nil"/>
              <w:bottom w:val="single" w:sz="8" w:space="0" w:color="auto"/>
              <w:right w:val="single" w:sz="8" w:space="0" w:color="auto"/>
            </w:tcBorders>
            <w:shd w:val="clear" w:color="auto" w:fill="auto"/>
            <w:noWrap/>
            <w:vAlign w:val="center"/>
            <w:hideMark/>
          </w:tcPr>
          <w:p w14:paraId="39F01088" w14:textId="77777777" w:rsidR="00847FF6" w:rsidRPr="00B7014C" w:rsidRDefault="00847FF6" w:rsidP="00890082">
            <w:pPr>
              <w:jc w:val="center"/>
              <w:rPr>
                <w:b/>
                <w:bCs/>
                <w:color w:val="000000"/>
                <w:sz w:val="22"/>
                <w:szCs w:val="22"/>
                <w:lang w:eastAsia="en-GB"/>
              </w:rPr>
            </w:pPr>
            <w:r w:rsidRPr="00B7014C">
              <w:rPr>
                <w:b/>
                <w:bCs/>
                <w:color w:val="000000"/>
                <w:sz w:val="22"/>
                <w:szCs w:val="22"/>
                <w:lang w:eastAsia="en-GB"/>
              </w:rPr>
              <w:t>Jan-18</w:t>
            </w:r>
          </w:p>
        </w:tc>
        <w:tc>
          <w:tcPr>
            <w:tcW w:w="487" w:type="pct"/>
            <w:tcBorders>
              <w:top w:val="nil"/>
              <w:left w:val="nil"/>
              <w:bottom w:val="single" w:sz="8" w:space="0" w:color="auto"/>
              <w:right w:val="single" w:sz="8" w:space="0" w:color="auto"/>
            </w:tcBorders>
            <w:shd w:val="clear" w:color="auto" w:fill="auto"/>
            <w:noWrap/>
            <w:vAlign w:val="center"/>
            <w:hideMark/>
          </w:tcPr>
          <w:p w14:paraId="49B70F4B" w14:textId="77777777" w:rsidR="00847FF6" w:rsidRPr="00B7014C" w:rsidRDefault="00847FF6" w:rsidP="00890082">
            <w:pPr>
              <w:jc w:val="center"/>
              <w:rPr>
                <w:b/>
                <w:bCs/>
                <w:color w:val="000000"/>
                <w:sz w:val="22"/>
                <w:szCs w:val="22"/>
                <w:lang w:eastAsia="en-GB"/>
              </w:rPr>
            </w:pPr>
            <w:r w:rsidRPr="00B7014C">
              <w:rPr>
                <w:b/>
                <w:bCs/>
                <w:color w:val="000000"/>
                <w:sz w:val="22"/>
                <w:szCs w:val="22"/>
                <w:lang w:eastAsia="en-GB"/>
              </w:rPr>
              <w:t>Jan-19</w:t>
            </w:r>
          </w:p>
        </w:tc>
        <w:tc>
          <w:tcPr>
            <w:tcW w:w="488" w:type="pct"/>
            <w:tcBorders>
              <w:top w:val="nil"/>
              <w:left w:val="nil"/>
              <w:bottom w:val="single" w:sz="8" w:space="0" w:color="auto"/>
              <w:right w:val="single" w:sz="8" w:space="0" w:color="auto"/>
            </w:tcBorders>
            <w:vAlign w:val="center"/>
          </w:tcPr>
          <w:p w14:paraId="0ED27A94" w14:textId="77777777" w:rsidR="00847FF6" w:rsidRPr="00B7014C" w:rsidRDefault="00847FF6" w:rsidP="00890082">
            <w:pPr>
              <w:jc w:val="center"/>
              <w:rPr>
                <w:b/>
                <w:bCs/>
                <w:color w:val="000000"/>
                <w:sz w:val="22"/>
                <w:szCs w:val="22"/>
                <w:lang w:eastAsia="en-GB"/>
              </w:rPr>
            </w:pPr>
            <w:r w:rsidRPr="00B7014C">
              <w:rPr>
                <w:b/>
                <w:bCs/>
                <w:color w:val="000000"/>
                <w:sz w:val="22"/>
                <w:szCs w:val="22"/>
                <w:lang w:eastAsia="en-GB"/>
              </w:rPr>
              <w:t>Jan-20</w:t>
            </w:r>
          </w:p>
        </w:tc>
        <w:tc>
          <w:tcPr>
            <w:tcW w:w="487" w:type="pct"/>
            <w:tcBorders>
              <w:top w:val="nil"/>
              <w:left w:val="nil"/>
              <w:bottom w:val="single" w:sz="8" w:space="0" w:color="auto"/>
              <w:right w:val="single" w:sz="8" w:space="0" w:color="auto"/>
            </w:tcBorders>
            <w:vAlign w:val="center"/>
          </w:tcPr>
          <w:p w14:paraId="3BB53A6F" w14:textId="77777777" w:rsidR="00847FF6" w:rsidRPr="00B7014C" w:rsidRDefault="00847FF6" w:rsidP="00890082">
            <w:pPr>
              <w:jc w:val="center"/>
              <w:rPr>
                <w:b/>
                <w:bCs/>
                <w:color w:val="000000"/>
                <w:sz w:val="22"/>
                <w:szCs w:val="22"/>
                <w:lang w:eastAsia="en-GB"/>
              </w:rPr>
            </w:pPr>
            <w:r>
              <w:rPr>
                <w:b/>
                <w:bCs/>
                <w:color w:val="000000"/>
                <w:sz w:val="22"/>
                <w:szCs w:val="22"/>
                <w:lang w:eastAsia="en-GB"/>
              </w:rPr>
              <w:t>Jan-21</w:t>
            </w:r>
          </w:p>
        </w:tc>
        <w:tc>
          <w:tcPr>
            <w:tcW w:w="484" w:type="pct"/>
            <w:tcBorders>
              <w:top w:val="nil"/>
              <w:left w:val="nil"/>
              <w:bottom w:val="single" w:sz="8" w:space="0" w:color="auto"/>
              <w:right w:val="single" w:sz="8" w:space="0" w:color="auto"/>
            </w:tcBorders>
            <w:vAlign w:val="center"/>
          </w:tcPr>
          <w:p w14:paraId="328F96C8" w14:textId="77777777" w:rsidR="00847FF6" w:rsidRDefault="00847FF6" w:rsidP="00890082">
            <w:pPr>
              <w:jc w:val="center"/>
              <w:rPr>
                <w:b/>
                <w:bCs/>
                <w:color w:val="000000"/>
                <w:sz w:val="22"/>
                <w:szCs w:val="22"/>
                <w:lang w:eastAsia="en-GB"/>
              </w:rPr>
            </w:pPr>
            <w:r>
              <w:rPr>
                <w:b/>
                <w:bCs/>
                <w:color w:val="000000"/>
                <w:sz w:val="22"/>
                <w:szCs w:val="22"/>
                <w:lang w:eastAsia="en-GB"/>
              </w:rPr>
              <w:t>Jan-22</w:t>
            </w:r>
          </w:p>
        </w:tc>
      </w:tr>
      <w:tr w:rsidR="00847FF6" w:rsidRPr="00B7014C" w14:paraId="1AA96D2C" w14:textId="77777777" w:rsidTr="00890082">
        <w:trPr>
          <w:trHeight w:val="315"/>
        </w:trPr>
        <w:tc>
          <w:tcPr>
            <w:tcW w:w="2080" w:type="pct"/>
            <w:tcBorders>
              <w:top w:val="nil"/>
              <w:left w:val="single" w:sz="8" w:space="0" w:color="auto"/>
              <w:bottom w:val="single" w:sz="8" w:space="0" w:color="auto"/>
              <w:right w:val="single" w:sz="8" w:space="0" w:color="auto"/>
            </w:tcBorders>
            <w:shd w:val="clear" w:color="auto" w:fill="auto"/>
            <w:noWrap/>
            <w:vAlign w:val="center"/>
            <w:hideMark/>
          </w:tcPr>
          <w:p w14:paraId="7177BF46" w14:textId="77777777" w:rsidR="00847FF6" w:rsidRPr="00B7014C" w:rsidRDefault="00847FF6" w:rsidP="00890082">
            <w:pPr>
              <w:rPr>
                <w:color w:val="000000"/>
                <w:sz w:val="22"/>
                <w:szCs w:val="22"/>
                <w:lang w:eastAsia="en-GB"/>
              </w:rPr>
            </w:pPr>
            <w:r w:rsidRPr="00B7014C">
              <w:rPr>
                <w:color w:val="000000"/>
                <w:sz w:val="22"/>
                <w:szCs w:val="22"/>
                <w:lang w:eastAsia="en-GB"/>
              </w:rPr>
              <w:t>Residents of Brent</w:t>
            </w:r>
          </w:p>
        </w:tc>
        <w:tc>
          <w:tcPr>
            <w:tcW w:w="487" w:type="pct"/>
            <w:tcBorders>
              <w:top w:val="nil"/>
              <w:left w:val="nil"/>
              <w:bottom w:val="single" w:sz="8" w:space="0" w:color="auto"/>
              <w:right w:val="single" w:sz="8" w:space="0" w:color="auto"/>
            </w:tcBorders>
            <w:shd w:val="clear" w:color="auto" w:fill="auto"/>
            <w:noWrap/>
            <w:vAlign w:val="center"/>
            <w:hideMark/>
          </w:tcPr>
          <w:p w14:paraId="19F1D9BE" w14:textId="77777777" w:rsidR="00847FF6" w:rsidRPr="00B7014C" w:rsidRDefault="00847FF6" w:rsidP="00890082">
            <w:pPr>
              <w:jc w:val="center"/>
              <w:rPr>
                <w:color w:val="000000"/>
                <w:sz w:val="22"/>
                <w:szCs w:val="22"/>
                <w:lang w:eastAsia="en-GB"/>
              </w:rPr>
            </w:pPr>
            <w:r w:rsidRPr="00B7014C">
              <w:rPr>
                <w:color w:val="000000"/>
                <w:sz w:val="22"/>
                <w:szCs w:val="22"/>
                <w:lang w:eastAsia="en-GB"/>
              </w:rPr>
              <w:t>976</w:t>
            </w:r>
          </w:p>
        </w:tc>
        <w:tc>
          <w:tcPr>
            <w:tcW w:w="487" w:type="pct"/>
            <w:tcBorders>
              <w:top w:val="nil"/>
              <w:left w:val="nil"/>
              <w:bottom w:val="single" w:sz="8" w:space="0" w:color="auto"/>
              <w:right w:val="single" w:sz="8" w:space="0" w:color="auto"/>
            </w:tcBorders>
            <w:shd w:val="clear" w:color="auto" w:fill="auto"/>
            <w:noWrap/>
            <w:vAlign w:val="center"/>
            <w:hideMark/>
          </w:tcPr>
          <w:p w14:paraId="6E3B047E" w14:textId="77777777" w:rsidR="00847FF6" w:rsidRPr="00B7014C" w:rsidRDefault="00847FF6" w:rsidP="00890082">
            <w:pPr>
              <w:jc w:val="center"/>
              <w:rPr>
                <w:color w:val="000000"/>
                <w:sz w:val="22"/>
                <w:szCs w:val="22"/>
                <w:lang w:eastAsia="en-GB"/>
              </w:rPr>
            </w:pPr>
            <w:r w:rsidRPr="00B7014C">
              <w:rPr>
                <w:color w:val="000000"/>
                <w:sz w:val="22"/>
                <w:szCs w:val="22"/>
                <w:lang w:eastAsia="en-GB"/>
              </w:rPr>
              <w:t>972</w:t>
            </w:r>
          </w:p>
        </w:tc>
        <w:tc>
          <w:tcPr>
            <w:tcW w:w="487" w:type="pct"/>
            <w:tcBorders>
              <w:top w:val="nil"/>
              <w:left w:val="nil"/>
              <w:bottom w:val="single" w:sz="8" w:space="0" w:color="auto"/>
              <w:right w:val="single" w:sz="8" w:space="0" w:color="auto"/>
            </w:tcBorders>
            <w:shd w:val="clear" w:color="auto" w:fill="auto"/>
            <w:noWrap/>
            <w:vAlign w:val="center"/>
            <w:hideMark/>
          </w:tcPr>
          <w:p w14:paraId="692857FF" w14:textId="77777777" w:rsidR="00847FF6" w:rsidRPr="00B7014C" w:rsidRDefault="00847FF6" w:rsidP="00890082">
            <w:pPr>
              <w:jc w:val="center"/>
              <w:rPr>
                <w:color w:val="000000"/>
                <w:sz w:val="22"/>
                <w:szCs w:val="22"/>
                <w:lang w:eastAsia="en-GB"/>
              </w:rPr>
            </w:pPr>
            <w:r w:rsidRPr="00B7014C">
              <w:rPr>
                <w:color w:val="000000"/>
                <w:sz w:val="22"/>
                <w:szCs w:val="22"/>
                <w:lang w:eastAsia="en-GB"/>
              </w:rPr>
              <w:t>935</w:t>
            </w:r>
          </w:p>
        </w:tc>
        <w:tc>
          <w:tcPr>
            <w:tcW w:w="488" w:type="pct"/>
            <w:tcBorders>
              <w:top w:val="nil"/>
              <w:left w:val="nil"/>
              <w:bottom w:val="single" w:sz="8" w:space="0" w:color="auto"/>
              <w:right w:val="single" w:sz="8" w:space="0" w:color="auto"/>
            </w:tcBorders>
            <w:vAlign w:val="center"/>
          </w:tcPr>
          <w:p w14:paraId="4BC4C626" w14:textId="77777777" w:rsidR="00847FF6" w:rsidRPr="00B7014C" w:rsidRDefault="00847FF6" w:rsidP="00890082">
            <w:pPr>
              <w:jc w:val="center"/>
              <w:rPr>
                <w:color w:val="000000"/>
                <w:sz w:val="22"/>
                <w:szCs w:val="22"/>
                <w:lang w:eastAsia="en-GB"/>
              </w:rPr>
            </w:pPr>
            <w:r w:rsidRPr="00B7014C">
              <w:rPr>
                <w:color w:val="000000"/>
                <w:sz w:val="22"/>
                <w:szCs w:val="22"/>
                <w:lang w:eastAsia="en-GB"/>
              </w:rPr>
              <w:t>911</w:t>
            </w:r>
          </w:p>
        </w:tc>
        <w:tc>
          <w:tcPr>
            <w:tcW w:w="487" w:type="pct"/>
            <w:tcBorders>
              <w:top w:val="nil"/>
              <w:left w:val="nil"/>
              <w:bottom w:val="single" w:sz="8" w:space="0" w:color="auto"/>
              <w:right w:val="single" w:sz="8" w:space="0" w:color="auto"/>
            </w:tcBorders>
            <w:vAlign w:val="center"/>
          </w:tcPr>
          <w:p w14:paraId="56F28AF3" w14:textId="77777777" w:rsidR="00847FF6" w:rsidRPr="00B7014C" w:rsidRDefault="00847FF6" w:rsidP="00890082">
            <w:pPr>
              <w:jc w:val="center"/>
              <w:rPr>
                <w:color w:val="000000"/>
                <w:sz w:val="22"/>
                <w:szCs w:val="22"/>
                <w:lang w:eastAsia="en-GB"/>
              </w:rPr>
            </w:pPr>
            <w:r>
              <w:rPr>
                <w:color w:val="000000"/>
                <w:sz w:val="22"/>
                <w:szCs w:val="22"/>
                <w:lang w:eastAsia="en-GB"/>
              </w:rPr>
              <w:t>871</w:t>
            </w:r>
          </w:p>
        </w:tc>
        <w:tc>
          <w:tcPr>
            <w:tcW w:w="484" w:type="pct"/>
            <w:tcBorders>
              <w:top w:val="nil"/>
              <w:left w:val="nil"/>
              <w:bottom w:val="single" w:sz="8" w:space="0" w:color="auto"/>
              <w:right w:val="single" w:sz="8" w:space="0" w:color="auto"/>
            </w:tcBorders>
            <w:vAlign w:val="center"/>
          </w:tcPr>
          <w:p w14:paraId="31C982BD" w14:textId="77777777" w:rsidR="00847FF6" w:rsidRDefault="00847FF6" w:rsidP="00890082">
            <w:pPr>
              <w:jc w:val="center"/>
              <w:rPr>
                <w:color w:val="000000"/>
                <w:sz w:val="22"/>
                <w:szCs w:val="22"/>
                <w:lang w:eastAsia="en-GB"/>
              </w:rPr>
            </w:pPr>
            <w:r>
              <w:rPr>
                <w:color w:val="000000"/>
                <w:sz w:val="22"/>
                <w:szCs w:val="22"/>
                <w:lang w:eastAsia="en-GB"/>
              </w:rPr>
              <w:t>891</w:t>
            </w:r>
          </w:p>
        </w:tc>
      </w:tr>
      <w:tr w:rsidR="00847FF6" w:rsidRPr="00B7014C" w14:paraId="3AEF0EA3" w14:textId="77777777" w:rsidTr="00890082">
        <w:trPr>
          <w:trHeight w:val="315"/>
        </w:trPr>
        <w:tc>
          <w:tcPr>
            <w:tcW w:w="2080" w:type="pct"/>
            <w:tcBorders>
              <w:top w:val="nil"/>
              <w:left w:val="single" w:sz="8" w:space="0" w:color="auto"/>
              <w:bottom w:val="single" w:sz="8" w:space="0" w:color="auto"/>
              <w:right w:val="single" w:sz="8" w:space="0" w:color="auto"/>
            </w:tcBorders>
            <w:shd w:val="clear" w:color="auto" w:fill="auto"/>
            <w:noWrap/>
            <w:vAlign w:val="center"/>
            <w:hideMark/>
          </w:tcPr>
          <w:p w14:paraId="70CDE2A9" w14:textId="77777777" w:rsidR="00847FF6" w:rsidRPr="00B7014C" w:rsidRDefault="00847FF6" w:rsidP="00890082">
            <w:pPr>
              <w:rPr>
                <w:color w:val="000000"/>
                <w:sz w:val="22"/>
                <w:szCs w:val="22"/>
                <w:lang w:eastAsia="en-GB"/>
              </w:rPr>
            </w:pPr>
            <w:r w:rsidRPr="00B7014C">
              <w:rPr>
                <w:color w:val="000000"/>
                <w:sz w:val="22"/>
                <w:szCs w:val="22"/>
                <w:lang w:eastAsia="en-GB"/>
              </w:rPr>
              <w:t>Residents of Ealing</w:t>
            </w:r>
          </w:p>
        </w:tc>
        <w:tc>
          <w:tcPr>
            <w:tcW w:w="487" w:type="pct"/>
            <w:tcBorders>
              <w:top w:val="nil"/>
              <w:left w:val="nil"/>
              <w:bottom w:val="single" w:sz="8" w:space="0" w:color="auto"/>
              <w:right w:val="single" w:sz="8" w:space="0" w:color="auto"/>
            </w:tcBorders>
            <w:shd w:val="clear" w:color="auto" w:fill="auto"/>
            <w:noWrap/>
            <w:vAlign w:val="center"/>
            <w:hideMark/>
          </w:tcPr>
          <w:p w14:paraId="257D57A5" w14:textId="77777777" w:rsidR="00847FF6" w:rsidRPr="00B7014C" w:rsidRDefault="00847FF6" w:rsidP="00890082">
            <w:pPr>
              <w:jc w:val="center"/>
              <w:rPr>
                <w:color w:val="000000"/>
                <w:sz w:val="22"/>
                <w:szCs w:val="22"/>
                <w:lang w:eastAsia="en-GB"/>
              </w:rPr>
            </w:pPr>
            <w:r w:rsidRPr="00B7014C">
              <w:rPr>
                <w:color w:val="000000"/>
                <w:sz w:val="22"/>
                <w:szCs w:val="22"/>
                <w:lang w:eastAsia="en-GB"/>
              </w:rPr>
              <w:t>384</w:t>
            </w:r>
          </w:p>
        </w:tc>
        <w:tc>
          <w:tcPr>
            <w:tcW w:w="487" w:type="pct"/>
            <w:tcBorders>
              <w:top w:val="nil"/>
              <w:left w:val="nil"/>
              <w:bottom w:val="single" w:sz="8" w:space="0" w:color="auto"/>
              <w:right w:val="single" w:sz="8" w:space="0" w:color="auto"/>
            </w:tcBorders>
            <w:shd w:val="clear" w:color="auto" w:fill="auto"/>
            <w:noWrap/>
            <w:vAlign w:val="center"/>
            <w:hideMark/>
          </w:tcPr>
          <w:p w14:paraId="54981E4C" w14:textId="77777777" w:rsidR="00847FF6" w:rsidRPr="00B7014C" w:rsidRDefault="00847FF6" w:rsidP="00890082">
            <w:pPr>
              <w:jc w:val="center"/>
              <w:rPr>
                <w:color w:val="000000"/>
                <w:sz w:val="22"/>
                <w:szCs w:val="22"/>
                <w:lang w:eastAsia="en-GB"/>
              </w:rPr>
            </w:pPr>
            <w:r w:rsidRPr="00B7014C">
              <w:rPr>
                <w:color w:val="000000"/>
                <w:sz w:val="22"/>
                <w:szCs w:val="22"/>
                <w:lang w:eastAsia="en-GB"/>
              </w:rPr>
              <w:t>419</w:t>
            </w:r>
          </w:p>
        </w:tc>
        <w:tc>
          <w:tcPr>
            <w:tcW w:w="487" w:type="pct"/>
            <w:tcBorders>
              <w:top w:val="nil"/>
              <w:left w:val="nil"/>
              <w:bottom w:val="single" w:sz="8" w:space="0" w:color="auto"/>
              <w:right w:val="single" w:sz="8" w:space="0" w:color="auto"/>
            </w:tcBorders>
            <w:shd w:val="clear" w:color="auto" w:fill="auto"/>
            <w:noWrap/>
            <w:vAlign w:val="center"/>
            <w:hideMark/>
          </w:tcPr>
          <w:p w14:paraId="6ACF1CC7" w14:textId="77777777" w:rsidR="00847FF6" w:rsidRPr="00B7014C" w:rsidRDefault="00847FF6" w:rsidP="00890082">
            <w:pPr>
              <w:jc w:val="center"/>
              <w:rPr>
                <w:color w:val="000000"/>
                <w:sz w:val="22"/>
                <w:szCs w:val="22"/>
                <w:lang w:eastAsia="en-GB"/>
              </w:rPr>
            </w:pPr>
            <w:r w:rsidRPr="00B7014C">
              <w:rPr>
                <w:color w:val="000000"/>
                <w:sz w:val="22"/>
                <w:szCs w:val="22"/>
                <w:lang w:eastAsia="en-GB"/>
              </w:rPr>
              <w:t>492</w:t>
            </w:r>
          </w:p>
        </w:tc>
        <w:tc>
          <w:tcPr>
            <w:tcW w:w="488" w:type="pct"/>
            <w:tcBorders>
              <w:top w:val="nil"/>
              <w:left w:val="nil"/>
              <w:bottom w:val="single" w:sz="8" w:space="0" w:color="auto"/>
              <w:right w:val="single" w:sz="8" w:space="0" w:color="auto"/>
            </w:tcBorders>
            <w:vAlign w:val="center"/>
          </w:tcPr>
          <w:p w14:paraId="268FEFF6" w14:textId="77777777" w:rsidR="00847FF6" w:rsidRPr="00B7014C" w:rsidRDefault="00847FF6" w:rsidP="00890082">
            <w:pPr>
              <w:jc w:val="center"/>
              <w:rPr>
                <w:color w:val="000000"/>
                <w:sz w:val="22"/>
                <w:szCs w:val="22"/>
                <w:lang w:eastAsia="en-GB"/>
              </w:rPr>
            </w:pPr>
            <w:r w:rsidRPr="00B7014C">
              <w:rPr>
                <w:color w:val="000000"/>
                <w:sz w:val="22"/>
                <w:szCs w:val="22"/>
                <w:lang w:eastAsia="en-GB"/>
              </w:rPr>
              <w:t>542</w:t>
            </w:r>
          </w:p>
        </w:tc>
        <w:tc>
          <w:tcPr>
            <w:tcW w:w="487" w:type="pct"/>
            <w:tcBorders>
              <w:top w:val="nil"/>
              <w:left w:val="nil"/>
              <w:bottom w:val="single" w:sz="8" w:space="0" w:color="auto"/>
              <w:right w:val="single" w:sz="8" w:space="0" w:color="auto"/>
            </w:tcBorders>
            <w:vAlign w:val="center"/>
          </w:tcPr>
          <w:p w14:paraId="7AF578F8" w14:textId="77777777" w:rsidR="00847FF6" w:rsidRPr="00B7014C" w:rsidRDefault="00847FF6" w:rsidP="00890082">
            <w:pPr>
              <w:jc w:val="center"/>
              <w:rPr>
                <w:color w:val="000000"/>
                <w:sz w:val="22"/>
                <w:szCs w:val="22"/>
                <w:lang w:eastAsia="en-GB"/>
              </w:rPr>
            </w:pPr>
            <w:r>
              <w:rPr>
                <w:color w:val="000000"/>
                <w:sz w:val="22"/>
                <w:szCs w:val="22"/>
                <w:lang w:eastAsia="en-GB"/>
              </w:rPr>
              <w:t>584</w:t>
            </w:r>
          </w:p>
        </w:tc>
        <w:tc>
          <w:tcPr>
            <w:tcW w:w="484" w:type="pct"/>
            <w:tcBorders>
              <w:top w:val="nil"/>
              <w:left w:val="nil"/>
              <w:bottom w:val="single" w:sz="8" w:space="0" w:color="auto"/>
              <w:right w:val="single" w:sz="8" w:space="0" w:color="auto"/>
            </w:tcBorders>
            <w:vAlign w:val="center"/>
          </w:tcPr>
          <w:p w14:paraId="362EC2AC" w14:textId="77777777" w:rsidR="00847FF6" w:rsidRDefault="00847FF6" w:rsidP="00890082">
            <w:pPr>
              <w:jc w:val="center"/>
              <w:rPr>
                <w:color w:val="000000"/>
                <w:sz w:val="22"/>
                <w:szCs w:val="22"/>
                <w:lang w:eastAsia="en-GB"/>
              </w:rPr>
            </w:pPr>
            <w:r>
              <w:rPr>
                <w:color w:val="000000"/>
                <w:sz w:val="22"/>
                <w:szCs w:val="22"/>
                <w:lang w:eastAsia="en-GB"/>
              </w:rPr>
              <w:t>552</w:t>
            </w:r>
          </w:p>
        </w:tc>
      </w:tr>
      <w:tr w:rsidR="00847FF6" w:rsidRPr="00B7014C" w14:paraId="4E386F52" w14:textId="77777777" w:rsidTr="00890082">
        <w:trPr>
          <w:trHeight w:val="315"/>
        </w:trPr>
        <w:tc>
          <w:tcPr>
            <w:tcW w:w="2080" w:type="pct"/>
            <w:tcBorders>
              <w:top w:val="nil"/>
              <w:left w:val="single" w:sz="8" w:space="0" w:color="auto"/>
              <w:bottom w:val="single" w:sz="8" w:space="0" w:color="auto"/>
              <w:right w:val="single" w:sz="8" w:space="0" w:color="auto"/>
            </w:tcBorders>
            <w:shd w:val="clear" w:color="auto" w:fill="auto"/>
            <w:noWrap/>
            <w:vAlign w:val="center"/>
            <w:hideMark/>
          </w:tcPr>
          <w:p w14:paraId="00114801" w14:textId="77777777" w:rsidR="00847FF6" w:rsidRPr="00B7014C" w:rsidRDefault="00847FF6" w:rsidP="00890082">
            <w:pPr>
              <w:rPr>
                <w:color w:val="000000"/>
                <w:sz w:val="22"/>
                <w:szCs w:val="22"/>
                <w:lang w:eastAsia="en-GB"/>
              </w:rPr>
            </w:pPr>
            <w:r w:rsidRPr="00B7014C">
              <w:rPr>
                <w:color w:val="000000"/>
                <w:sz w:val="22"/>
                <w:szCs w:val="22"/>
                <w:lang w:eastAsia="en-GB"/>
              </w:rPr>
              <w:t>Residents of Barnet</w:t>
            </w:r>
          </w:p>
        </w:tc>
        <w:tc>
          <w:tcPr>
            <w:tcW w:w="487" w:type="pct"/>
            <w:tcBorders>
              <w:top w:val="nil"/>
              <w:left w:val="nil"/>
              <w:bottom w:val="single" w:sz="8" w:space="0" w:color="auto"/>
              <w:right w:val="single" w:sz="8" w:space="0" w:color="auto"/>
            </w:tcBorders>
            <w:shd w:val="clear" w:color="auto" w:fill="auto"/>
            <w:noWrap/>
            <w:vAlign w:val="center"/>
            <w:hideMark/>
          </w:tcPr>
          <w:p w14:paraId="3203F819" w14:textId="77777777" w:rsidR="00847FF6" w:rsidRPr="00B7014C" w:rsidRDefault="00847FF6" w:rsidP="00890082">
            <w:pPr>
              <w:jc w:val="center"/>
              <w:rPr>
                <w:color w:val="000000"/>
                <w:sz w:val="22"/>
                <w:szCs w:val="22"/>
                <w:lang w:eastAsia="en-GB"/>
              </w:rPr>
            </w:pPr>
            <w:r w:rsidRPr="00B7014C">
              <w:rPr>
                <w:color w:val="000000"/>
                <w:sz w:val="22"/>
                <w:szCs w:val="22"/>
                <w:lang w:eastAsia="en-GB"/>
              </w:rPr>
              <w:t>377</w:t>
            </w:r>
          </w:p>
        </w:tc>
        <w:tc>
          <w:tcPr>
            <w:tcW w:w="487" w:type="pct"/>
            <w:tcBorders>
              <w:top w:val="nil"/>
              <w:left w:val="nil"/>
              <w:bottom w:val="single" w:sz="8" w:space="0" w:color="auto"/>
              <w:right w:val="single" w:sz="8" w:space="0" w:color="auto"/>
            </w:tcBorders>
            <w:shd w:val="clear" w:color="auto" w:fill="auto"/>
            <w:noWrap/>
            <w:vAlign w:val="center"/>
            <w:hideMark/>
          </w:tcPr>
          <w:p w14:paraId="5D51B797" w14:textId="77777777" w:rsidR="00847FF6" w:rsidRPr="00B7014C" w:rsidRDefault="00847FF6" w:rsidP="00890082">
            <w:pPr>
              <w:jc w:val="center"/>
              <w:rPr>
                <w:color w:val="000000"/>
                <w:sz w:val="22"/>
                <w:szCs w:val="22"/>
                <w:lang w:eastAsia="en-GB"/>
              </w:rPr>
            </w:pPr>
            <w:r w:rsidRPr="00B7014C">
              <w:rPr>
                <w:color w:val="000000"/>
                <w:sz w:val="22"/>
                <w:szCs w:val="22"/>
                <w:lang w:eastAsia="en-GB"/>
              </w:rPr>
              <w:t>393</w:t>
            </w:r>
          </w:p>
        </w:tc>
        <w:tc>
          <w:tcPr>
            <w:tcW w:w="487" w:type="pct"/>
            <w:tcBorders>
              <w:top w:val="nil"/>
              <w:left w:val="nil"/>
              <w:bottom w:val="single" w:sz="8" w:space="0" w:color="auto"/>
              <w:right w:val="single" w:sz="8" w:space="0" w:color="auto"/>
            </w:tcBorders>
            <w:shd w:val="clear" w:color="auto" w:fill="auto"/>
            <w:noWrap/>
            <w:vAlign w:val="center"/>
            <w:hideMark/>
          </w:tcPr>
          <w:p w14:paraId="22FD0189" w14:textId="77777777" w:rsidR="00847FF6" w:rsidRPr="00B7014C" w:rsidRDefault="00847FF6" w:rsidP="00890082">
            <w:pPr>
              <w:jc w:val="center"/>
              <w:rPr>
                <w:color w:val="000000"/>
                <w:sz w:val="22"/>
                <w:szCs w:val="22"/>
                <w:lang w:eastAsia="en-GB"/>
              </w:rPr>
            </w:pPr>
            <w:r w:rsidRPr="00B7014C">
              <w:rPr>
                <w:color w:val="000000"/>
                <w:sz w:val="22"/>
                <w:szCs w:val="22"/>
                <w:lang w:eastAsia="en-GB"/>
              </w:rPr>
              <w:t>427</w:t>
            </w:r>
          </w:p>
        </w:tc>
        <w:tc>
          <w:tcPr>
            <w:tcW w:w="488" w:type="pct"/>
            <w:tcBorders>
              <w:top w:val="nil"/>
              <w:left w:val="nil"/>
              <w:bottom w:val="single" w:sz="8" w:space="0" w:color="auto"/>
              <w:right w:val="single" w:sz="8" w:space="0" w:color="auto"/>
            </w:tcBorders>
            <w:vAlign w:val="center"/>
          </w:tcPr>
          <w:p w14:paraId="5F30AAE7" w14:textId="77777777" w:rsidR="00847FF6" w:rsidRPr="00B7014C" w:rsidRDefault="00847FF6" w:rsidP="00890082">
            <w:pPr>
              <w:jc w:val="center"/>
              <w:rPr>
                <w:color w:val="000000"/>
                <w:sz w:val="22"/>
                <w:szCs w:val="22"/>
                <w:lang w:eastAsia="en-GB"/>
              </w:rPr>
            </w:pPr>
            <w:r w:rsidRPr="00B7014C">
              <w:rPr>
                <w:color w:val="000000"/>
                <w:sz w:val="22"/>
                <w:szCs w:val="22"/>
                <w:lang w:eastAsia="en-GB"/>
              </w:rPr>
              <w:t>413</w:t>
            </w:r>
          </w:p>
        </w:tc>
        <w:tc>
          <w:tcPr>
            <w:tcW w:w="487" w:type="pct"/>
            <w:tcBorders>
              <w:top w:val="nil"/>
              <w:left w:val="nil"/>
              <w:bottom w:val="single" w:sz="8" w:space="0" w:color="auto"/>
              <w:right w:val="single" w:sz="8" w:space="0" w:color="auto"/>
            </w:tcBorders>
            <w:vAlign w:val="center"/>
          </w:tcPr>
          <w:p w14:paraId="69193A5B" w14:textId="77777777" w:rsidR="00847FF6" w:rsidRPr="00B7014C" w:rsidRDefault="00847FF6" w:rsidP="00890082">
            <w:pPr>
              <w:jc w:val="center"/>
              <w:rPr>
                <w:color w:val="000000"/>
                <w:sz w:val="22"/>
                <w:szCs w:val="22"/>
                <w:lang w:eastAsia="en-GB"/>
              </w:rPr>
            </w:pPr>
            <w:r>
              <w:rPr>
                <w:color w:val="000000"/>
                <w:sz w:val="22"/>
                <w:szCs w:val="22"/>
                <w:lang w:eastAsia="en-GB"/>
              </w:rPr>
              <w:t>389</w:t>
            </w:r>
          </w:p>
        </w:tc>
        <w:tc>
          <w:tcPr>
            <w:tcW w:w="484" w:type="pct"/>
            <w:tcBorders>
              <w:top w:val="nil"/>
              <w:left w:val="nil"/>
              <w:bottom w:val="single" w:sz="8" w:space="0" w:color="auto"/>
              <w:right w:val="single" w:sz="8" w:space="0" w:color="auto"/>
            </w:tcBorders>
            <w:vAlign w:val="center"/>
          </w:tcPr>
          <w:p w14:paraId="07E0981E" w14:textId="77777777" w:rsidR="00847FF6" w:rsidRDefault="00847FF6" w:rsidP="00890082">
            <w:pPr>
              <w:jc w:val="center"/>
              <w:rPr>
                <w:color w:val="000000"/>
                <w:sz w:val="22"/>
                <w:szCs w:val="22"/>
                <w:lang w:eastAsia="en-GB"/>
              </w:rPr>
            </w:pPr>
            <w:r>
              <w:rPr>
                <w:color w:val="000000"/>
                <w:sz w:val="22"/>
                <w:szCs w:val="22"/>
                <w:lang w:eastAsia="en-GB"/>
              </w:rPr>
              <w:t>355</w:t>
            </w:r>
          </w:p>
        </w:tc>
      </w:tr>
      <w:tr w:rsidR="00847FF6" w:rsidRPr="00B7014C" w14:paraId="1FE639A9" w14:textId="77777777" w:rsidTr="00890082">
        <w:trPr>
          <w:trHeight w:val="315"/>
        </w:trPr>
        <w:tc>
          <w:tcPr>
            <w:tcW w:w="2080" w:type="pct"/>
            <w:tcBorders>
              <w:top w:val="nil"/>
              <w:left w:val="single" w:sz="8" w:space="0" w:color="auto"/>
              <w:bottom w:val="single" w:sz="8" w:space="0" w:color="auto"/>
              <w:right w:val="single" w:sz="8" w:space="0" w:color="auto"/>
            </w:tcBorders>
            <w:shd w:val="clear" w:color="auto" w:fill="auto"/>
            <w:noWrap/>
            <w:vAlign w:val="center"/>
            <w:hideMark/>
          </w:tcPr>
          <w:p w14:paraId="66136E02" w14:textId="77777777" w:rsidR="00847FF6" w:rsidRPr="00B7014C" w:rsidRDefault="00847FF6" w:rsidP="00890082">
            <w:pPr>
              <w:rPr>
                <w:color w:val="000000"/>
                <w:sz w:val="22"/>
                <w:szCs w:val="22"/>
                <w:lang w:eastAsia="en-GB"/>
              </w:rPr>
            </w:pPr>
            <w:r w:rsidRPr="00B7014C">
              <w:rPr>
                <w:color w:val="000000"/>
                <w:sz w:val="22"/>
                <w:szCs w:val="22"/>
                <w:lang w:eastAsia="en-GB"/>
              </w:rPr>
              <w:t>Residents of Hillingdon</w:t>
            </w:r>
          </w:p>
        </w:tc>
        <w:tc>
          <w:tcPr>
            <w:tcW w:w="487" w:type="pct"/>
            <w:tcBorders>
              <w:top w:val="nil"/>
              <w:left w:val="nil"/>
              <w:bottom w:val="single" w:sz="8" w:space="0" w:color="auto"/>
              <w:right w:val="single" w:sz="8" w:space="0" w:color="auto"/>
            </w:tcBorders>
            <w:shd w:val="clear" w:color="auto" w:fill="auto"/>
            <w:noWrap/>
            <w:vAlign w:val="center"/>
            <w:hideMark/>
          </w:tcPr>
          <w:p w14:paraId="12703F09" w14:textId="77777777" w:rsidR="00847FF6" w:rsidRPr="00B7014C" w:rsidRDefault="00847FF6" w:rsidP="00890082">
            <w:pPr>
              <w:jc w:val="center"/>
              <w:rPr>
                <w:color w:val="000000"/>
                <w:sz w:val="22"/>
                <w:szCs w:val="22"/>
                <w:lang w:eastAsia="en-GB"/>
              </w:rPr>
            </w:pPr>
            <w:r w:rsidRPr="00B7014C">
              <w:rPr>
                <w:color w:val="000000"/>
                <w:sz w:val="22"/>
                <w:szCs w:val="22"/>
                <w:lang w:eastAsia="en-GB"/>
              </w:rPr>
              <w:t>172</w:t>
            </w:r>
          </w:p>
        </w:tc>
        <w:tc>
          <w:tcPr>
            <w:tcW w:w="487" w:type="pct"/>
            <w:tcBorders>
              <w:top w:val="nil"/>
              <w:left w:val="nil"/>
              <w:bottom w:val="single" w:sz="8" w:space="0" w:color="auto"/>
              <w:right w:val="single" w:sz="8" w:space="0" w:color="auto"/>
            </w:tcBorders>
            <w:shd w:val="clear" w:color="auto" w:fill="auto"/>
            <w:noWrap/>
            <w:vAlign w:val="center"/>
            <w:hideMark/>
          </w:tcPr>
          <w:p w14:paraId="772EFCDB" w14:textId="77777777" w:rsidR="00847FF6" w:rsidRPr="00B7014C" w:rsidRDefault="00847FF6" w:rsidP="00890082">
            <w:pPr>
              <w:jc w:val="center"/>
              <w:rPr>
                <w:color w:val="000000"/>
                <w:sz w:val="22"/>
                <w:szCs w:val="22"/>
                <w:lang w:eastAsia="en-GB"/>
              </w:rPr>
            </w:pPr>
            <w:r w:rsidRPr="00B7014C">
              <w:rPr>
                <w:color w:val="000000"/>
                <w:sz w:val="22"/>
                <w:szCs w:val="22"/>
                <w:lang w:eastAsia="en-GB"/>
              </w:rPr>
              <w:t>197</w:t>
            </w:r>
          </w:p>
        </w:tc>
        <w:tc>
          <w:tcPr>
            <w:tcW w:w="487" w:type="pct"/>
            <w:tcBorders>
              <w:top w:val="nil"/>
              <w:left w:val="nil"/>
              <w:bottom w:val="single" w:sz="8" w:space="0" w:color="auto"/>
              <w:right w:val="single" w:sz="8" w:space="0" w:color="auto"/>
            </w:tcBorders>
            <w:shd w:val="clear" w:color="auto" w:fill="auto"/>
            <w:noWrap/>
            <w:vAlign w:val="center"/>
            <w:hideMark/>
          </w:tcPr>
          <w:p w14:paraId="60A74D6D" w14:textId="77777777" w:rsidR="00847FF6" w:rsidRPr="00B7014C" w:rsidRDefault="00847FF6" w:rsidP="00890082">
            <w:pPr>
              <w:jc w:val="center"/>
              <w:rPr>
                <w:color w:val="000000"/>
                <w:sz w:val="22"/>
                <w:szCs w:val="22"/>
                <w:lang w:eastAsia="en-GB"/>
              </w:rPr>
            </w:pPr>
            <w:r w:rsidRPr="00B7014C">
              <w:rPr>
                <w:color w:val="000000"/>
                <w:sz w:val="22"/>
                <w:szCs w:val="22"/>
                <w:lang w:eastAsia="en-GB"/>
              </w:rPr>
              <w:t>254</w:t>
            </w:r>
          </w:p>
        </w:tc>
        <w:tc>
          <w:tcPr>
            <w:tcW w:w="488" w:type="pct"/>
            <w:tcBorders>
              <w:top w:val="nil"/>
              <w:left w:val="nil"/>
              <w:bottom w:val="single" w:sz="8" w:space="0" w:color="auto"/>
              <w:right w:val="single" w:sz="8" w:space="0" w:color="auto"/>
            </w:tcBorders>
            <w:vAlign w:val="center"/>
          </w:tcPr>
          <w:p w14:paraId="0D522FC8" w14:textId="77777777" w:rsidR="00847FF6" w:rsidRPr="00B7014C" w:rsidRDefault="00847FF6" w:rsidP="00890082">
            <w:pPr>
              <w:jc w:val="center"/>
              <w:rPr>
                <w:color w:val="000000"/>
                <w:sz w:val="22"/>
                <w:szCs w:val="22"/>
                <w:lang w:eastAsia="en-GB"/>
              </w:rPr>
            </w:pPr>
            <w:r w:rsidRPr="00B7014C">
              <w:rPr>
                <w:color w:val="000000"/>
                <w:sz w:val="22"/>
                <w:szCs w:val="22"/>
                <w:lang w:eastAsia="en-GB"/>
              </w:rPr>
              <w:t>306</w:t>
            </w:r>
          </w:p>
        </w:tc>
        <w:tc>
          <w:tcPr>
            <w:tcW w:w="487" w:type="pct"/>
            <w:tcBorders>
              <w:top w:val="nil"/>
              <w:left w:val="nil"/>
              <w:bottom w:val="single" w:sz="8" w:space="0" w:color="auto"/>
              <w:right w:val="single" w:sz="8" w:space="0" w:color="auto"/>
            </w:tcBorders>
            <w:vAlign w:val="center"/>
          </w:tcPr>
          <w:p w14:paraId="24FFD5B0" w14:textId="77777777" w:rsidR="00847FF6" w:rsidRPr="00B7014C" w:rsidRDefault="00847FF6" w:rsidP="00890082">
            <w:pPr>
              <w:jc w:val="center"/>
              <w:rPr>
                <w:color w:val="000000"/>
                <w:sz w:val="22"/>
                <w:szCs w:val="22"/>
                <w:lang w:eastAsia="en-GB"/>
              </w:rPr>
            </w:pPr>
            <w:r>
              <w:rPr>
                <w:color w:val="000000"/>
                <w:sz w:val="22"/>
                <w:szCs w:val="22"/>
                <w:lang w:eastAsia="en-GB"/>
              </w:rPr>
              <w:t>344</w:t>
            </w:r>
          </w:p>
        </w:tc>
        <w:tc>
          <w:tcPr>
            <w:tcW w:w="484" w:type="pct"/>
            <w:tcBorders>
              <w:top w:val="nil"/>
              <w:left w:val="nil"/>
              <w:bottom w:val="single" w:sz="8" w:space="0" w:color="auto"/>
              <w:right w:val="single" w:sz="8" w:space="0" w:color="auto"/>
            </w:tcBorders>
            <w:vAlign w:val="center"/>
          </w:tcPr>
          <w:p w14:paraId="05B5861A" w14:textId="77777777" w:rsidR="00847FF6" w:rsidRDefault="00847FF6" w:rsidP="00890082">
            <w:pPr>
              <w:jc w:val="center"/>
              <w:rPr>
                <w:color w:val="000000"/>
                <w:sz w:val="22"/>
                <w:szCs w:val="22"/>
                <w:lang w:eastAsia="en-GB"/>
              </w:rPr>
            </w:pPr>
            <w:r>
              <w:rPr>
                <w:color w:val="000000"/>
                <w:sz w:val="22"/>
                <w:szCs w:val="22"/>
                <w:lang w:eastAsia="en-GB"/>
              </w:rPr>
              <w:t>360</w:t>
            </w:r>
          </w:p>
        </w:tc>
      </w:tr>
      <w:tr w:rsidR="00847FF6" w:rsidRPr="00B7014C" w14:paraId="2D859CA2" w14:textId="77777777" w:rsidTr="00890082">
        <w:trPr>
          <w:trHeight w:val="315"/>
        </w:trPr>
        <w:tc>
          <w:tcPr>
            <w:tcW w:w="2080" w:type="pct"/>
            <w:tcBorders>
              <w:top w:val="nil"/>
              <w:left w:val="single" w:sz="8" w:space="0" w:color="auto"/>
              <w:bottom w:val="single" w:sz="8" w:space="0" w:color="auto"/>
              <w:right w:val="single" w:sz="8" w:space="0" w:color="auto"/>
            </w:tcBorders>
            <w:shd w:val="clear" w:color="auto" w:fill="auto"/>
            <w:noWrap/>
            <w:vAlign w:val="center"/>
            <w:hideMark/>
          </w:tcPr>
          <w:p w14:paraId="5E3ED44C" w14:textId="77777777" w:rsidR="00847FF6" w:rsidRPr="00B7014C" w:rsidRDefault="00847FF6" w:rsidP="00890082">
            <w:pPr>
              <w:rPr>
                <w:color w:val="000000"/>
                <w:sz w:val="22"/>
                <w:szCs w:val="22"/>
                <w:lang w:eastAsia="en-GB"/>
              </w:rPr>
            </w:pPr>
            <w:r w:rsidRPr="00B7014C">
              <w:rPr>
                <w:color w:val="000000"/>
                <w:sz w:val="22"/>
                <w:szCs w:val="22"/>
                <w:lang w:eastAsia="en-GB"/>
              </w:rPr>
              <w:t>Residents of Hertfordshire</w:t>
            </w:r>
          </w:p>
        </w:tc>
        <w:tc>
          <w:tcPr>
            <w:tcW w:w="487" w:type="pct"/>
            <w:tcBorders>
              <w:top w:val="nil"/>
              <w:left w:val="nil"/>
              <w:bottom w:val="single" w:sz="8" w:space="0" w:color="auto"/>
              <w:right w:val="single" w:sz="8" w:space="0" w:color="auto"/>
            </w:tcBorders>
            <w:shd w:val="clear" w:color="auto" w:fill="auto"/>
            <w:noWrap/>
            <w:vAlign w:val="center"/>
            <w:hideMark/>
          </w:tcPr>
          <w:p w14:paraId="2B634186" w14:textId="77777777" w:rsidR="00847FF6" w:rsidRPr="00B7014C" w:rsidRDefault="00847FF6" w:rsidP="00890082">
            <w:pPr>
              <w:jc w:val="center"/>
              <w:rPr>
                <w:color w:val="000000"/>
                <w:sz w:val="22"/>
                <w:szCs w:val="22"/>
                <w:lang w:eastAsia="en-GB"/>
              </w:rPr>
            </w:pPr>
            <w:r w:rsidRPr="00B7014C">
              <w:rPr>
                <w:color w:val="000000"/>
                <w:sz w:val="22"/>
                <w:szCs w:val="22"/>
                <w:lang w:eastAsia="en-GB"/>
              </w:rPr>
              <w:t>188</w:t>
            </w:r>
          </w:p>
        </w:tc>
        <w:tc>
          <w:tcPr>
            <w:tcW w:w="487" w:type="pct"/>
            <w:tcBorders>
              <w:top w:val="nil"/>
              <w:left w:val="nil"/>
              <w:bottom w:val="single" w:sz="8" w:space="0" w:color="auto"/>
              <w:right w:val="single" w:sz="8" w:space="0" w:color="auto"/>
            </w:tcBorders>
            <w:shd w:val="clear" w:color="auto" w:fill="auto"/>
            <w:noWrap/>
            <w:vAlign w:val="center"/>
            <w:hideMark/>
          </w:tcPr>
          <w:p w14:paraId="19D58A53" w14:textId="77777777" w:rsidR="00847FF6" w:rsidRPr="00B7014C" w:rsidRDefault="00847FF6" w:rsidP="00890082">
            <w:pPr>
              <w:jc w:val="center"/>
              <w:rPr>
                <w:color w:val="000000"/>
                <w:sz w:val="22"/>
                <w:szCs w:val="22"/>
                <w:lang w:eastAsia="en-GB"/>
              </w:rPr>
            </w:pPr>
            <w:r w:rsidRPr="00B7014C">
              <w:rPr>
                <w:color w:val="000000"/>
                <w:sz w:val="22"/>
                <w:szCs w:val="22"/>
                <w:lang w:eastAsia="en-GB"/>
              </w:rPr>
              <w:t>225</w:t>
            </w:r>
          </w:p>
        </w:tc>
        <w:tc>
          <w:tcPr>
            <w:tcW w:w="487" w:type="pct"/>
            <w:tcBorders>
              <w:top w:val="nil"/>
              <w:left w:val="nil"/>
              <w:bottom w:val="single" w:sz="8" w:space="0" w:color="auto"/>
              <w:right w:val="single" w:sz="8" w:space="0" w:color="auto"/>
            </w:tcBorders>
            <w:shd w:val="clear" w:color="auto" w:fill="auto"/>
            <w:noWrap/>
            <w:vAlign w:val="center"/>
            <w:hideMark/>
          </w:tcPr>
          <w:p w14:paraId="3028410F" w14:textId="77777777" w:rsidR="00847FF6" w:rsidRPr="00B7014C" w:rsidRDefault="00847FF6" w:rsidP="00890082">
            <w:pPr>
              <w:jc w:val="center"/>
              <w:rPr>
                <w:color w:val="000000"/>
                <w:sz w:val="22"/>
                <w:szCs w:val="22"/>
                <w:lang w:eastAsia="en-GB"/>
              </w:rPr>
            </w:pPr>
            <w:r w:rsidRPr="00B7014C">
              <w:rPr>
                <w:color w:val="000000"/>
                <w:sz w:val="22"/>
                <w:szCs w:val="22"/>
                <w:lang w:eastAsia="en-GB"/>
              </w:rPr>
              <w:t>194</w:t>
            </w:r>
          </w:p>
        </w:tc>
        <w:tc>
          <w:tcPr>
            <w:tcW w:w="488" w:type="pct"/>
            <w:tcBorders>
              <w:top w:val="nil"/>
              <w:left w:val="nil"/>
              <w:bottom w:val="single" w:sz="8" w:space="0" w:color="auto"/>
              <w:right w:val="single" w:sz="8" w:space="0" w:color="auto"/>
            </w:tcBorders>
            <w:vAlign w:val="center"/>
          </w:tcPr>
          <w:p w14:paraId="1354AB0D" w14:textId="77777777" w:rsidR="00847FF6" w:rsidRPr="00B7014C" w:rsidRDefault="00847FF6" w:rsidP="00890082">
            <w:pPr>
              <w:jc w:val="center"/>
              <w:rPr>
                <w:color w:val="000000"/>
                <w:sz w:val="22"/>
                <w:szCs w:val="22"/>
                <w:lang w:eastAsia="en-GB"/>
              </w:rPr>
            </w:pPr>
            <w:r w:rsidRPr="00B7014C">
              <w:rPr>
                <w:color w:val="000000"/>
                <w:sz w:val="22"/>
                <w:szCs w:val="22"/>
                <w:lang w:eastAsia="en-GB"/>
              </w:rPr>
              <w:t>231</w:t>
            </w:r>
          </w:p>
        </w:tc>
        <w:tc>
          <w:tcPr>
            <w:tcW w:w="487" w:type="pct"/>
            <w:tcBorders>
              <w:top w:val="nil"/>
              <w:left w:val="nil"/>
              <w:bottom w:val="single" w:sz="8" w:space="0" w:color="auto"/>
              <w:right w:val="single" w:sz="8" w:space="0" w:color="auto"/>
            </w:tcBorders>
            <w:vAlign w:val="center"/>
          </w:tcPr>
          <w:p w14:paraId="3232D9F4" w14:textId="77777777" w:rsidR="00847FF6" w:rsidRPr="00B7014C" w:rsidRDefault="00847FF6" w:rsidP="00890082">
            <w:pPr>
              <w:jc w:val="center"/>
              <w:rPr>
                <w:color w:val="000000"/>
                <w:sz w:val="22"/>
                <w:szCs w:val="22"/>
                <w:lang w:eastAsia="en-GB"/>
              </w:rPr>
            </w:pPr>
            <w:r>
              <w:rPr>
                <w:color w:val="000000"/>
                <w:sz w:val="22"/>
                <w:szCs w:val="22"/>
                <w:lang w:eastAsia="en-GB"/>
              </w:rPr>
              <w:t>255</w:t>
            </w:r>
          </w:p>
        </w:tc>
        <w:tc>
          <w:tcPr>
            <w:tcW w:w="484" w:type="pct"/>
            <w:tcBorders>
              <w:top w:val="nil"/>
              <w:left w:val="nil"/>
              <w:bottom w:val="single" w:sz="8" w:space="0" w:color="auto"/>
              <w:right w:val="single" w:sz="8" w:space="0" w:color="auto"/>
            </w:tcBorders>
            <w:vAlign w:val="center"/>
          </w:tcPr>
          <w:p w14:paraId="63E04360" w14:textId="77777777" w:rsidR="00847FF6" w:rsidRDefault="00847FF6" w:rsidP="00890082">
            <w:pPr>
              <w:jc w:val="center"/>
              <w:rPr>
                <w:color w:val="000000"/>
                <w:sz w:val="22"/>
                <w:szCs w:val="22"/>
                <w:lang w:eastAsia="en-GB"/>
              </w:rPr>
            </w:pPr>
            <w:r>
              <w:rPr>
                <w:color w:val="000000"/>
                <w:sz w:val="22"/>
                <w:szCs w:val="22"/>
                <w:lang w:eastAsia="en-GB"/>
              </w:rPr>
              <w:t>296</w:t>
            </w:r>
          </w:p>
        </w:tc>
      </w:tr>
      <w:tr w:rsidR="00847FF6" w:rsidRPr="00B7014C" w14:paraId="211584F0" w14:textId="77777777" w:rsidTr="00890082">
        <w:trPr>
          <w:trHeight w:val="315"/>
        </w:trPr>
        <w:tc>
          <w:tcPr>
            <w:tcW w:w="2080" w:type="pct"/>
            <w:tcBorders>
              <w:top w:val="nil"/>
              <w:left w:val="single" w:sz="8" w:space="0" w:color="auto"/>
              <w:bottom w:val="single" w:sz="8" w:space="0" w:color="auto"/>
              <w:right w:val="single" w:sz="8" w:space="0" w:color="auto"/>
            </w:tcBorders>
            <w:shd w:val="clear" w:color="auto" w:fill="auto"/>
            <w:noWrap/>
            <w:vAlign w:val="center"/>
            <w:hideMark/>
          </w:tcPr>
          <w:p w14:paraId="79D6B5C2" w14:textId="77777777" w:rsidR="00847FF6" w:rsidRPr="00B7014C" w:rsidRDefault="00847FF6" w:rsidP="00890082">
            <w:pPr>
              <w:rPr>
                <w:color w:val="000000"/>
                <w:sz w:val="22"/>
                <w:szCs w:val="22"/>
                <w:lang w:eastAsia="en-GB"/>
              </w:rPr>
            </w:pPr>
            <w:r w:rsidRPr="00B7014C">
              <w:rPr>
                <w:color w:val="000000"/>
                <w:sz w:val="22"/>
                <w:szCs w:val="22"/>
                <w:lang w:eastAsia="en-GB"/>
              </w:rPr>
              <w:t>Other LAs</w:t>
            </w:r>
          </w:p>
        </w:tc>
        <w:tc>
          <w:tcPr>
            <w:tcW w:w="487" w:type="pct"/>
            <w:tcBorders>
              <w:top w:val="nil"/>
              <w:left w:val="nil"/>
              <w:bottom w:val="single" w:sz="8" w:space="0" w:color="auto"/>
              <w:right w:val="single" w:sz="8" w:space="0" w:color="auto"/>
            </w:tcBorders>
            <w:shd w:val="clear" w:color="auto" w:fill="auto"/>
            <w:noWrap/>
            <w:vAlign w:val="center"/>
            <w:hideMark/>
          </w:tcPr>
          <w:p w14:paraId="3D07DB8C" w14:textId="77777777" w:rsidR="00847FF6" w:rsidRPr="00B7014C" w:rsidRDefault="00847FF6" w:rsidP="00890082">
            <w:pPr>
              <w:jc w:val="center"/>
              <w:rPr>
                <w:color w:val="000000"/>
                <w:sz w:val="22"/>
                <w:szCs w:val="22"/>
                <w:lang w:eastAsia="en-GB"/>
              </w:rPr>
            </w:pPr>
            <w:r w:rsidRPr="00B7014C">
              <w:rPr>
                <w:color w:val="000000"/>
                <w:sz w:val="22"/>
                <w:szCs w:val="22"/>
                <w:lang w:eastAsia="en-GB"/>
              </w:rPr>
              <w:t>49</w:t>
            </w:r>
          </w:p>
        </w:tc>
        <w:tc>
          <w:tcPr>
            <w:tcW w:w="487" w:type="pct"/>
            <w:tcBorders>
              <w:top w:val="nil"/>
              <w:left w:val="nil"/>
              <w:bottom w:val="single" w:sz="8" w:space="0" w:color="auto"/>
              <w:right w:val="single" w:sz="8" w:space="0" w:color="auto"/>
            </w:tcBorders>
            <w:shd w:val="clear" w:color="auto" w:fill="auto"/>
            <w:noWrap/>
            <w:vAlign w:val="center"/>
            <w:hideMark/>
          </w:tcPr>
          <w:p w14:paraId="717E5E4D" w14:textId="77777777" w:rsidR="00847FF6" w:rsidRPr="00B7014C" w:rsidRDefault="00847FF6" w:rsidP="00890082">
            <w:pPr>
              <w:jc w:val="center"/>
              <w:rPr>
                <w:color w:val="000000"/>
                <w:sz w:val="22"/>
                <w:szCs w:val="22"/>
                <w:lang w:eastAsia="en-GB"/>
              </w:rPr>
            </w:pPr>
            <w:r w:rsidRPr="00B7014C">
              <w:rPr>
                <w:color w:val="000000"/>
                <w:sz w:val="22"/>
                <w:szCs w:val="22"/>
                <w:lang w:eastAsia="en-GB"/>
              </w:rPr>
              <w:t>54</w:t>
            </w:r>
          </w:p>
        </w:tc>
        <w:tc>
          <w:tcPr>
            <w:tcW w:w="487" w:type="pct"/>
            <w:tcBorders>
              <w:top w:val="nil"/>
              <w:left w:val="nil"/>
              <w:bottom w:val="single" w:sz="8" w:space="0" w:color="auto"/>
              <w:right w:val="single" w:sz="8" w:space="0" w:color="auto"/>
            </w:tcBorders>
            <w:shd w:val="clear" w:color="auto" w:fill="auto"/>
            <w:noWrap/>
            <w:vAlign w:val="center"/>
            <w:hideMark/>
          </w:tcPr>
          <w:p w14:paraId="17F4A503" w14:textId="77777777" w:rsidR="00847FF6" w:rsidRPr="00B7014C" w:rsidRDefault="00847FF6" w:rsidP="00890082">
            <w:pPr>
              <w:jc w:val="center"/>
              <w:rPr>
                <w:color w:val="000000"/>
                <w:sz w:val="22"/>
                <w:szCs w:val="22"/>
                <w:lang w:eastAsia="en-GB"/>
              </w:rPr>
            </w:pPr>
            <w:r w:rsidRPr="00B7014C">
              <w:rPr>
                <w:color w:val="000000"/>
                <w:sz w:val="22"/>
                <w:szCs w:val="22"/>
                <w:lang w:eastAsia="en-GB"/>
              </w:rPr>
              <w:t>51</w:t>
            </w:r>
          </w:p>
        </w:tc>
        <w:tc>
          <w:tcPr>
            <w:tcW w:w="488" w:type="pct"/>
            <w:tcBorders>
              <w:top w:val="nil"/>
              <w:left w:val="nil"/>
              <w:bottom w:val="single" w:sz="8" w:space="0" w:color="auto"/>
              <w:right w:val="single" w:sz="8" w:space="0" w:color="auto"/>
            </w:tcBorders>
            <w:vAlign w:val="center"/>
          </w:tcPr>
          <w:p w14:paraId="1F6B3371" w14:textId="77777777" w:rsidR="00847FF6" w:rsidRPr="00B7014C" w:rsidRDefault="00847FF6" w:rsidP="00890082">
            <w:pPr>
              <w:jc w:val="center"/>
              <w:rPr>
                <w:color w:val="000000"/>
                <w:sz w:val="22"/>
                <w:szCs w:val="22"/>
                <w:lang w:eastAsia="en-GB"/>
              </w:rPr>
            </w:pPr>
            <w:r w:rsidRPr="00B7014C">
              <w:rPr>
                <w:color w:val="000000"/>
                <w:sz w:val="22"/>
                <w:szCs w:val="22"/>
                <w:lang w:eastAsia="en-GB"/>
              </w:rPr>
              <w:t>60</w:t>
            </w:r>
          </w:p>
        </w:tc>
        <w:tc>
          <w:tcPr>
            <w:tcW w:w="487" w:type="pct"/>
            <w:tcBorders>
              <w:top w:val="nil"/>
              <w:left w:val="nil"/>
              <w:bottom w:val="single" w:sz="8" w:space="0" w:color="auto"/>
              <w:right w:val="single" w:sz="8" w:space="0" w:color="auto"/>
            </w:tcBorders>
            <w:vAlign w:val="center"/>
          </w:tcPr>
          <w:p w14:paraId="6EA1373C" w14:textId="77777777" w:rsidR="00847FF6" w:rsidRPr="00B7014C" w:rsidRDefault="00847FF6" w:rsidP="00890082">
            <w:pPr>
              <w:jc w:val="center"/>
              <w:rPr>
                <w:color w:val="000000"/>
                <w:sz w:val="22"/>
                <w:szCs w:val="22"/>
                <w:lang w:eastAsia="en-GB"/>
              </w:rPr>
            </w:pPr>
            <w:r>
              <w:rPr>
                <w:color w:val="000000"/>
                <w:sz w:val="22"/>
                <w:szCs w:val="22"/>
                <w:lang w:eastAsia="en-GB"/>
              </w:rPr>
              <w:t>69</w:t>
            </w:r>
          </w:p>
        </w:tc>
        <w:tc>
          <w:tcPr>
            <w:tcW w:w="484" w:type="pct"/>
            <w:tcBorders>
              <w:top w:val="nil"/>
              <w:left w:val="nil"/>
              <w:bottom w:val="single" w:sz="8" w:space="0" w:color="auto"/>
              <w:right w:val="single" w:sz="8" w:space="0" w:color="auto"/>
            </w:tcBorders>
            <w:vAlign w:val="center"/>
          </w:tcPr>
          <w:p w14:paraId="39D0FA0D" w14:textId="77777777" w:rsidR="00847FF6" w:rsidRDefault="00847FF6" w:rsidP="00890082">
            <w:pPr>
              <w:jc w:val="center"/>
              <w:rPr>
                <w:color w:val="000000"/>
                <w:sz w:val="22"/>
                <w:szCs w:val="22"/>
                <w:lang w:eastAsia="en-GB"/>
              </w:rPr>
            </w:pPr>
            <w:r>
              <w:rPr>
                <w:color w:val="000000"/>
                <w:sz w:val="22"/>
                <w:szCs w:val="22"/>
                <w:lang w:eastAsia="en-GB"/>
              </w:rPr>
              <w:t>56</w:t>
            </w:r>
          </w:p>
        </w:tc>
      </w:tr>
      <w:tr w:rsidR="00847FF6" w:rsidRPr="00B7014C" w14:paraId="7E64DDFF" w14:textId="77777777" w:rsidTr="00890082">
        <w:trPr>
          <w:trHeight w:val="315"/>
        </w:trPr>
        <w:tc>
          <w:tcPr>
            <w:tcW w:w="2080" w:type="pct"/>
            <w:tcBorders>
              <w:top w:val="nil"/>
              <w:left w:val="single" w:sz="8" w:space="0" w:color="auto"/>
              <w:bottom w:val="single" w:sz="8" w:space="0" w:color="auto"/>
              <w:right w:val="single" w:sz="8" w:space="0" w:color="auto"/>
            </w:tcBorders>
            <w:shd w:val="clear" w:color="auto" w:fill="auto"/>
            <w:noWrap/>
            <w:vAlign w:val="center"/>
            <w:hideMark/>
          </w:tcPr>
          <w:p w14:paraId="5199B837" w14:textId="77777777" w:rsidR="00847FF6" w:rsidRPr="00B7014C" w:rsidRDefault="00847FF6" w:rsidP="00890082">
            <w:pPr>
              <w:rPr>
                <w:color w:val="000000"/>
                <w:sz w:val="22"/>
                <w:szCs w:val="22"/>
                <w:lang w:eastAsia="en-GB"/>
              </w:rPr>
            </w:pPr>
            <w:r w:rsidRPr="00B7014C">
              <w:rPr>
                <w:color w:val="000000"/>
                <w:sz w:val="22"/>
                <w:szCs w:val="22"/>
                <w:lang w:eastAsia="en-GB"/>
              </w:rPr>
              <w:t>Unknown*</w:t>
            </w:r>
          </w:p>
        </w:tc>
        <w:tc>
          <w:tcPr>
            <w:tcW w:w="487" w:type="pct"/>
            <w:tcBorders>
              <w:top w:val="nil"/>
              <w:left w:val="nil"/>
              <w:bottom w:val="single" w:sz="8" w:space="0" w:color="auto"/>
              <w:right w:val="single" w:sz="8" w:space="0" w:color="auto"/>
            </w:tcBorders>
            <w:shd w:val="clear" w:color="auto" w:fill="auto"/>
            <w:noWrap/>
            <w:vAlign w:val="center"/>
            <w:hideMark/>
          </w:tcPr>
          <w:p w14:paraId="113CE555" w14:textId="77777777" w:rsidR="00847FF6" w:rsidRPr="00B7014C" w:rsidRDefault="00847FF6" w:rsidP="00890082">
            <w:pPr>
              <w:jc w:val="center"/>
              <w:rPr>
                <w:color w:val="000000"/>
                <w:sz w:val="22"/>
                <w:szCs w:val="22"/>
                <w:lang w:eastAsia="en-GB"/>
              </w:rPr>
            </w:pPr>
            <w:r w:rsidRPr="00B7014C">
              <w:rPr>
                <w:color w:val="000000"/>
                <w:sz w:val="22"/>
                <w:szCs w:val="22"/>
                <w:lang w:eastAsia="en-GB"/>
              </w:rPr>
              <w:t>2</w:t>
            </w:r>
          </w:p>
        </w:tc>
        <w:tc>
          <w:tcPr>
            <w:tcW w:w="487" w:type="pct"/>
            <w:tcBorders>
              <w:top w:val="nil"/>
              <w:left w:val="nil"/>
              <w:bottom w:val="single" w:sz="8" w:space="0" w:color="auto"/>
              <w:right w:val="single" w:sz="8" w:space="0" w:color="auto"/>
            </w:tcBorders>
            <w:shd w:val="clear" w:color="auto" w:fill="auto"/>
            <w:noWrap/>
            <w:vAlign w:val="center"/>
            <w:hideMark/>
          </w:tcPr>
          <w:p w14:paraId="6836AF10" w14:textId="77777777" w:rsidR="00847FF6" w:rsidRPr="00B7014C" w:rsidRDefault="00847FF6" w:rsidP="00890082">
            <w:pPr>
              <w:jc w:val="center"/>
              <w:rPr>
                <w:color w:val="000000"/>
                <w:sz w:val="22"/>
                <w:szCs w:val="22"/>
                <w:lang w:eastAsia="en-GB"/>
              </w:rPr>
            </w:pPr>
            <w:r w:rsidRPr="00B7014C">
              <w:rPr>
                <w:color w:val="000000"/>
                <w:sz w:val="22"/>
                <w:szCs w:val="22"/>
                <w:lang w:eastAsia="en-GB"/>
              </w:rPr>
              <w:t>6</w:t>
            </w:r>
          </w:p>
        </w:tc>
        <w:tc>
          <w:tcPr>
            <w:tcW w:w="487" w:type="pct"/>
            <w:tcBorders>
              <w:top w:val="nil"/>
              <w:left w:val="nil"/>
              <w:bottom w:val="single" w:sz="8" w:space="0" w:color="auto"/>
              <w:right w:val="single" w:sz="8" w:space="0" w:color="auto"/>
            </w:tcBorders>
            <w:shd w:val="clear" w:color="auto" w:fill="auto"/>
            <w:noWrap/>
            <w:vAlign w:val="center"/>
            <w:hideMark/>
          </w:tcPr>
          <w:p w14:paraId="14E6FA11" w14:textId="77777777" w:rsidR="00847FF6" w:rsidRPr="00B7014C" w:rsidRDefault="00847FF6" w:rsidP="00890082">
            <w:pPr>
              <w:jc w:val="center"/>
              <w:rPr>
                <w:color w:val="000000"/>
                <w:sz w:val="22"/>
                <w:szCs w:val="22"/>
                <w:lang w:eastAsia="en-GB"/>
              </w:rPr>
            </w:pPr>
            <w:r w:rsidRPr="00B7014C">
              <w:rPr>
                <w:color w:val="000000"/>
                <w:sz w:val="22"/>
                <w:szCs w:val="22"/>
                <w:lang w:eastAsia="en-GB"/>
              </w:rPr>
              <w:t>6</w:t>
            </w:r>
          </w:p>
        </w:tc>
        <w:tc>
          <w:tcPr>
            <w:tcW w:w="488" w:type="pct"/>
            <w:tcBorders>
              <w:top w:val="nil"/>
              <w:left w:val="nil"/>
              <w:bottom w:val="single" w:sz="8" w:space="0" w:color="auto"/>
              <w:right w:val="single" w:sz="8" w:space="0" w:color="auto"/>
            </w:tcBorders>
            <w:vAlign w:val="center"/>
          </w:tcPr>
          <w:p w14:paraId="7C141E50" w14:textId="77777777" w:rsidR="00847FF6" w:rsidRPr="00B7014C" w:rsidRDefault="00847FF6" w:rsidP="00890082">
            <w:pPr>
              <w:jc w:val="center"/>
              <w:rPr>
                <w:color w:val="000000"/>
                <w:sz w:val="22"/>
                <w:szCs w:val="22"/>
                <w:lang w:eastAsia="en-GB"/>
              </w:rPr>
            </w:pPr>
            <w:r w:rsidRPr="00B7014C">
              <w:rPr>
                <w:color w:val="000000"/>
                <w:sz w:val="22"/>
                <w:szCs w:val="22"/>
                <w:lang w:eastAsia="en-GB"/>
              </w:rPr>
              <w:t>5</w:t>
            </w:r>
          </w:p>
        </w:tc>
        <w:tc>
          <w:tcPr>
            <w:tcW w:w="487" w:type="pct"/>
            <w:tcBorders>
              <w:top w:val="nil"/>
              <w:left w:val="nil"/>
              <w:bottom w:val="single" w:sz="8" w:space="0" w:color="auto"/>
              <w:right w:val="single" w:sz="8" w:space="0" w:color="auto"/>
            </w:tcBorders>
            <w:vAlign w:val="center"/>
          </w:tcPr>
          <w:p w14:paraId="2ADBCF7C" w14:textId="77777777" w:rsidR="00847FF6" w:rsidRPr="00B7014C" w:rsidRDefault="00847FF6" w:rsidP="00890082">
            <w:pPr>
              <w:jc w:val="center"/>
              <w:rPr>
                <w:color w:val="000000"/>
                <w:sz w:val="22"/>
                <w:szCs w:val="22"/>
                <w:lang w:eastAsia="en-GB"/>
              </w:rPr>
            </w:pPr>
            <w:r>
              <w:rPr>
                <w:color w:val="000000"/>
                <w:sz w:val="22"/>
                <w:szCs w:val="22"/>
                <w:lang w:eastAsia="en-GB"/>
              </w:rPr>
              <w:t>5</w:t>
            </w:r>
          </w:p>
        </w:tc>
        <w:tc>
          <w:tcPr>
            <w:tcW w:w="484" w:type="pct"/>
            <w:tcBorders>
              <w:top w:val="nil"/>
              <w:left w:val="nil"/>
              <w:bottom w:val="single" w:sz="8" w:space="0" w:color="auto"/>
              <w:right w:val="single" w:sz="8" w:space="0" w:color="auto"/>
            </w:tcBorders>
            <w:vAlign w:val="center"/>
          </w:tcPr>
          <w:p w14:paraId="4DB39B97" w14:textId="77777777" w:rsidR="00847FF6" w:rsidRDefault="00847FF6" w:rsidP="00890082">
            <w:pPr>
              <w:jc w:val="center"/>
              <w:rPr>
                <w:color w:val="000000"/>
                <w:sz w:val="22"/>
                <w:szCs w:val="22"/>
                <w:lang w:eastAsia="en-GB"/>
              </w:rPr>
            </w:pPr>
            <w:r>
              <w:rPr>
                <w:color w:val="000000"/>
                <w:sz w:val="22"/>
                <w:szCs w:val="22"/>
                <w:lang w:eastAsia="en-GB"/>
              </w:rPr>
              <w:t>4</w:t>
            </w:r>
          </w:p>
        </w:tc>
      </w:tr>
      <w:tr w:rsidR="00847FF6" w:rsidRPr="00B7014C" w14:paraId="305013A5" w14:textId="77777777" w:rsidTr="00890082">
        <w:trPr>
          <w:trHeight w:val="330"/>
        </w:trPr>
        <w:tc>
          <w:tcPr>
            <w:tcW w:w="2080" w:type="pct"/>
            <w:tcBorders>
              <w:top w:val="nil"/>
              <w:left w:val="single" w:sz="8" w:space="0" w:color="auto"/>
              <w:bottom w:val="single" w:sz="8" w:space="0" w:color="auto"/>
              <w:right w:val="single" w:sz="8" w:space="0" w:color="auto"/>
            </w:tcBorders>
            <w:shd w:val="clear" w:color="auto" w:fill="auto"/>
            <w:noWrap/>
            <w:vAlign w:val="center"/>
            <w:hideMark/>
          </w:tcPr>
          <w:p w14:paraId="7EA58049" w14:textId="77777777" w:rsidR="00847FF6" w:rsidRPr="00B7014C" w:rsidRDefault="00847FF6" w:rsidP="00890082">
            <w:pPr>
              <w:rPr>
                <w:b/>
                <w:bCs/>
                <w:color w:val="000000"/>
                <w:sz w:val="22"/>
                <w:szCs w:val="22"/>
                <w:lang w:eastAsia="en-GB"/>
              </w:rPr>
            </w:pPr>
            <w:r w:rsidRPr="00B7014C">
              <w:rPr>
                <w:b/>
                <w:bCs/>
                <w:color w:val="000000"/>
                <w:sz w:val="22"/>
                <w:szCs w:val="22"/>
                <w:lang w:eastAsia="en-GB"/>
              </w:rPr>
              <w:t>Total out of borough pupils imported</w:t>
            </w:r>
          </w:p>
        </w:tc>
        <w:tc>
          <w:tcPr>
            <w:tcW w:w="487" w:type="pct"/>
            <w:tcBorders>
              <w:top w:val="nil"/>
              <w:left w:val="nil"/>
              <w:bottom w:val="single" w:sz="8" w:space="0" w:color="auto"/>
              <w:right w:val="single" w:sz="8" w:space="0" w:color="auto"/>
            </w:tcBorders>
            <w:shd w:val="clear" w:color="auto" w:fill="auto"/>
            <w:noWrap/>
            <w:vAlign w:val="center"/>
            <w:hideMark/>
          </w:tcPr>
          <w:p w14:paraId="2E376C14" w14:textId="77777777" w:rsidR="00847FF6" w:rsidRPr="00B7014C" w:rsidRDefault="00847FF6" w:rsidP="00890082">
            <w:pPr>
              <w:jc w:val="center"/>
              <w:rPr>
                <w:b/>
                <w:bCs/>
                <w:color w:val="000000"/>
                <w:sz w:val="22"/>
                <w:szCs w:val="22"/>
                <w:lang w:eastAsia="en-GB"/>
              </w:rPr>
            </w:pPr>
            <w:r w:rsidRPr="00B7014C">
              <w:rPr>
                <w:b/>
                <w:bCs/>
                <w:color w:val="000000"/>
                <w:sz w:val="22"/>
                <w:szCs w:val="22"/>
                <w:lang w:eastAsia="en-GB"/>
              </w:rPr>
              <w:t>2,148</w:t>
            </w:r>
          </w:p>
        </w:tc>
        <w:tc>
          <w:tcPr>
            <w:tcW w:w="487" w:type="pct"/>
            <w:tcBorders>
              <w:top w:val="nil"/>
              <w:left w:val="nil"/>
              <w:bottom w:val="single" w:sz="8" w:space="0" w:color="auto"/>
              <w:right w:val="single" w:sz="8" w:space="0" w:color="auto"/>
            </w:tcBorders>
            <w:shd w:val="clear" w:color="auto" w:fill="auto"/>
            <w:noWrap/>
            <w:vAlign w:val="center"/>
            <w:hideMark/>
          </w:tcPr>
          <w:p w14:paraId="1F3A02F9" w14:textId="77777777" w:rsidR="00847FF6" w:rsidRPr="00B7014C" w:rsidRDefault="00847FF6" w:rsidP="00890082">
            <w:pPr>
              <w:jc w:val="center"/>
              <w:rPr>
                <w:b/>
                <w:bCs/>
                <w:color w:val="000000"/>
                <w:sz w:val="22"/>
                <w:szCs w:val="22"/>
                <w:lang w:eastAsia="en-GB"/>
              </w:rPr>
            </w:pPr>
            <w:r w:rsidRPr="00B7014C">
              <w:rPr>
                <w:b/>
                <w:bCs/>
                <w:color w:val="000000"/>
                <w:sz w:val="22"/>
                <w:szCs w:val="22"/>
                <w:lang w:eastAsia="en-GB"/>
              </w:rPr>
              <w:t>2,266</w:t>
            </w:r>
          </w:p>
        </w:tc>
        <w:tc>
          <w:tcPr>
            <w:tcW w:w="487" w:type="pct"/>
            <w:tcBorders>
              <w:top w:val="nil"/>
              <w:left w:val="nil"/>
              <w:bottom w:val="single" w:sz="8" w:space="0" w:color="auto"/>
              <w:right w:val="single" w:sz="8" w:space="0" w:color="auto"/>
            </w:tcBorders>
            <w:shd w:val="clear" w:color="auto" w:fill="auto"/>
            <w:noWrap/>
            <w:vAlign w:val="center"/>
            <w:hideMark/>
          </w:tcPr>
          <w:p w14:paraId="0F90DDC8" w14:textId="77777777" w:rsidR="00847FF6" w:rsidRPr="00B7014C" w:rsidRDefault="00847FF6" w:rsidP="00890082">
            <w:pPr>
              <w:jc w:val="center"/>
              <w:rPr>
                <w:b/>
                <w:bCs/>
                <w:color w:val="000000"/>
                <w:sz w:val="22"/>
                <w:szCs w:val="22"/>
                <w:lang w:eastAsia="en-GB"/>
              </w:rPr>
            </w:pPr>
            <w:r w:rsidRPr="00B7014C">
              <w:rPr>
                <w:b/>
                <w:bCs/>
                <w:color w:val="000000"/>
                <w:sz w:val="22"/>
                <w:szCs w:val="22"/>
                <w:lang w:eastAsia="en-GB"/>
              </w:rPr>
              <w:t>2,359</w:t>
            </w:r>
          </w:p>
        </w:tc>
        <w:tc>
          <w:tcPr>
            <w:tcW w:w="488" w:type="pct"/>
            <w:tcBorders>
              <w:top w:val="nil"/>
              <w:left w:val="nil"/>
              <w:bottom w:val="single" w:sz="8" w:space="0" w:color="auto"/>
              <w:right w:val="single" w:sz="8" w:space="0" w:color="auto"/>
            </w:tcBorders>
            <w:vAlign w:val="center"/>
          </w:tcPr>
          <w:p w14:paraId="4398F488" w14:textId="77777777" w:rsidR="00847FF6" w:rsidRPr="00B7014C" w:rsidRDefault="00847FF6" w:rsidP="00890082">
            <w:pPr>
              <w:jc w:val="center"/>
              <w:rPr>
                <w:b/>
                <w:bCs/>
                <w:color w:val="000000"/>
                <w:sz w:val="22"/>
                <w:szCs w:val="22"/>
                <w:lang w:eastAsia="en-GB"/>
              </w:rPr>
            </w:pPr>
            <w:r w:rsidRPr="00B7014C">
              <w:rPr>
                <w:b/>
                <w:bCs/>
                <w:color w:val="000000"/>
                <w:sz w:val="22"/>
                <w:szCs w:val="22"/>
                <w:lang w:eastAsia="en-GB"/>
              </w:rPr>
              <w:t>2,468</w:t>
            </w:r>
          </w:p>
        </w:tc>
        <w:tc>
          <w:tcPr>
            <w:tcW w:w="487" w:type="pct"/>
            <w:tcBorders>
              <w:top w:val="nil"/>
              <w:left w:val="nil"/>
              <w:bottom w:val="single" w:sz="8" w:space="0" w:color="auto"/>
              <w:right w:val="single" w:sz="8" w:space="0" w:color="auto"/>
            </w:tcBorders>
            <w:vAlign w:val="center"/>
          </w:tcPr>
          <w:p w14:paraId="5DE9EC0E" w14:textId="77777777" w:rsidR="00847FF6" w:rsidRPr="00B7014C" w:rsidRDefault="00847FF6" w:rsidP="00890082">
            <w:pPr>
              <w:jc w:val="center"/>
              <w:rPr>
                <w:b/>
                <w:bCs/>
                <w:color w:val="000000"/>
                <w:sz w:val="22"/>
                <w:szCs w:val="22"/>
                <w:lang w:eastAsia="en-GB"/>
              </w:rPr>
            </w:pPr>
            <w:r>
              <w:rPr>
                <w:b/>
                <w:bCs/>
                <w:color w:val="000000"/>
                <w:sz w:val="22"/>
                <w:szCs w:val="22"/>
                <w:lang w:eastAsia="en-GB"/>
              </w:rPr>
              <w:t>2,512</w:t>
            </w:r>
          </w:p>
        </w:tc>
        <w:tc>
          <w:tcPr>
            <w:tcW w:w="484" w:type="pct"/>
            <w:tcBorders>
              <w:top w:val="nil"/>
              <w:left w:val="nil"/>
              <w:bottom w:val="single" w:sz="8" w:space="0" w:color="auto"/>
              <w:right w:val="single" w:sz="8" w:space="0" w:color="auto"/>
            </w:tcBorders>
            <w:vAlign w:val="center"/>
          </w:tcPr>
          <w:p w14:paraId="7211CF71" w14:textId="77777777" w:rsidR="00847FF6" w:rsidRDefault="00847FF6" w:rsidP="00890082">
            <w:pPr>
              <w:jc w:val="center"/>
              <w:rPr>
                <w:b/>
                <w:bCs/>
                <w:color w:val="000000"/>
                <w:sz w:val="22"/>
                <w:szCs w:val="22"/>
                <w:lang w:eastAsia="en-GB"/>
              </w:rPr>
            </w:pPr>
            <w:r>
              <w:rPr>
                <w:b/>
                <w:bCs/>
                <w:color w:val="000000"/>
                <w:sz w:val="22"/>
                <w:szCs w:val="22"/>
                <w:lang w:eastAsia="en-GB"/>
              </w:rPr>
              <w:t>2,514</w:t>
            </w:r>
          </w:p>
        </w:tc>
      </w:tr>
    </w:tbl>
    <w:p w14:paraId="0B0E6282" w14:textId="77777777" w:rsidR="00847FF6" w:rsidRPr="00B7014C" w:rsidRDefault="00847FF6" w:rsidP="00847FF6">
      <w:pPr>
        <w:rPr>
          <w:sz w:val="20"/>
        </w:rPr>
      </w:pPr>
      <w:r w:rsidRPr="00B7014C">
        <w:rPr>
          <w:sz w:val="20"/>
        </w:rPr>
        <w:t>Source: DfE SFR Cross Border Movement</w:t>
      </w:r>
    </w:p>
    <w:p w14:paraId="41E5C63B" w14:textId="77777777" w:rsidR="00847FF6" w:rsidRPr="00B7014C" w:rsidRDefault="00847FF6" w:rsidP="00847FF6">
      <w:r w:rsidRPr="00B7014C">
        <w:rPr>
          <w:sz w:val="20"/>
        </w:rPr>
        <w:t>*</w:t>
      </w:r>
      <w:r w:rsidRPr="00B7014C">
        <w:t xml:space="preserve"> </w:t>
      </w:r>
      <w:r w:rsidRPr="00B7014C">
        <w:rPr>
          <w:sz w:val="20"/>
        </w:rPr>
        <w:t>Includes pupils with invalid postcodes</w:t>
      </w:r>
    </w:p>
    <w:p w14:paraId="1767DCDB" w14:textId="77777777" w:rsidR="00A16979" w:rsidRPr="002822D7" w:rsidRDefault="00A16979" w:rsidP="00A16979">
      <w:pPr>
        <w:rPr>
          <w:b/>
        </w:rPr>
      </w:pPr>
    </w:p>
    <w:p w14:paraId="24C115F8" w14:textId="77777777" w:rsidR="00B87CA0" w:rsidRPr="00B7014C" w:rsidRDefault="00B87CA0" w:rsidP="00B87CA0">
      <w:pPr>
        <w:rPr>
          <w:b/>
        </w:rPr>
      </w:pPr>
      <w:r w:rsidRPr="000D1EEE">
        <w:rPr>
          <w:b/>
        </w:rPr>
        <w:t>Transferral rate of Harrow primary school pupils to Harrow secondary schools</w:t>
      </w:r>
    </w:p>
    <w:p w14:paraId="1E74993F" w14:textId="77777777" w:rsidR="00B87CA0" w:rsidRDefault="00B87CA0" w:rsidP="00B87CA0">
      <w:r w:rsidRPr="00B7014C">
        <w:t xml:space="preserve">The number of pupils in Year 6 </w:t>
      </w:r>
      <w:r>
        <w:t xml:space="preserve">continued </w:t>
      </w:r>
      <w:r w:rsidRPr="00B7014C">
        <w:t>increas</w:t>
      </w:r>
      <w:r>
        <w:t>ing from 2,332 in 2011/12 to 3,083 in 2020/21, however have declined since to 3,035 in 2022/23.</w:t>
      </w:r>
    </w:p>
    <w:p w14:paraId="7A27CAAB" w14:textId="77777777" w:rsidR="00B87CA0" w:rsidRDefault="00B87CA0" w:rsidP="00B87CA0"/>
    <w:p w14:paraId="6396F895" w14:textId="40775FC2" w:rsidR="00B87CA0" w:rsidRDefault="00B87CA0" w:rsidP="00B87CA0">
      <w:r w:rsidRPr="00B7014C">
        <w:t xml:space="preserve">The percentage of Year 6 pupils that have transferred to Year 7 in Harrows’ high schools has stayed steady between 66% and 70% over the last 8 years, with this year’s </w:t>
      </w:r>
      <w:r w:rsidRPr="00F67857">
        <w:t>rate at 6</w:t>
      </w:r>
      <w:r w:rsidR="00815350">
        <w:t>9</w:t>
      </w:r>
      <w:r w:rsidRPr="00F67857">
        <w:t>.</w:t>
      </w:r>
      <w:r w:rsidR="00815350">
        <w:t>4</w:t>
      </w:r>
      <w:r w:rsidRPr="00F67857">
        <w:t>6%.</w:t>
      </w:r>
      <w:r w:rsidRPr="00B7014C">
        <w:t xml:space="preserve">  The remainder of the year 6 pupils are likely to be leaving a Harrow primary school to attend an independent school or a state school in another borough including maintained, voluntary aided and grammar schools.  </w:t>
      </w:r>
    </w:p>
    <w:p w14:paraId="308D2F51" w14:textId="77777777" w:rsidR="00644BF2" w:rsidRPr="002822D7" w:rsidRDefault="00644BF2" w:rsidP="00A16979"/>
    <w:p w14:paraId="6C544B8C" w14:textId="5257E6AD" w:rsidR="00A16979" w:rsidRPr="00C85769" w:rsidRDefault="00A16979" w:rsidP="00A16979">
      <w:r w:rsidRPr="00815350">
        <w:t xml:space="preserve">Table </w:t>
      </w:r>
      <w:r w:rsidR="00C40020" w:rsidRPr="00815350">
        <w:t>13</w:t>
      </w:r>
      <w:r w:rsidRPr="00815350">
        <w:t xml:space="preserve"> below shows the Year 6 to Year 7 transferral rates for the last </w:t>
      </w:r>
      <w:r w:rsidR="00207FD7" w:rsidRPr="00815350">
        <w:t>1</w:t>
      </w:r>
      <w:r w:rsidR="00815350" w:rsidRPr="00815350">
        <w:t>3</w:t>
      </w:r>
      <w:r w:rsidRPr="00815350">
        <w:t xml:space="preserve"> years.</w:t>
      </w:r>
    </w:p>
    <w:p w14:paraId="78E32215" w14:textId="77777777" w:rsidR="00A16979" w:rsidRPr="00C85769" w:rsidRDefault="00A16979" w:rsidP="00A16979"/>
    <w:p w14:paraId="3C9F72F2" w14:textId="77777777" w:rsidR="00A16979" w:rsidRPr="00C85769" w:rsidRDefault="00A16979" w:rsidP="00A16979">
      <w:r w:rsidRPr="00C85769">
        <w:br w:type="page"/>
      </w:r>
    </w:p>
    <w:tbl>
      <w:tblPr>
        <w:tblW w:w="5000" w:type="pct"/>
        <w:tblLook w:val="04A0" w:firstRow="1" w:lastRow="0" w:firstColumn="1" w:lastColumn="0" w:noHBand="0" w:noVBand="1"/>
      </w:tblPr>
      <w:tblGrid>
        <w:gridCol w:w="1095"/>
        <w:gridCol w:w="1856"/>
        <w:gridCol w:w="1039"/>
        <w:gridCol w:w="3110"/>
        <w:gridCol w:w="1339"/>
        <w:gridCol w:w="1765"/>
      </w:tblGrid>
      <w:tr w:rsidR="0085691D" w:rsidRPr="00C85769" w14:paraId="1F582F73" w14:textId="77777777" w:rsidTr="005570B1">
        <w:trPr>
          <w:trHeight w:val="569"/>
        </w:trPr>
        <w:tc>
          <w:tcPr>
            <w:tcW w:w="5000" w:type="pct"/>
            <w:gridSpan w:val="6"/>
            <w:tcBorders>
              <w:top w:val="nil"/>
              <w:left w:val="nil"/>
              <w:bottom w:val="single" w:sz="4" w:space="0" w:color="auto"/>
              <w:right w:val="nil"/>
            </w:tcBorders>
            <w:shd w:val="clear" w:color="auto" w:fill="auto"/>
            <w:vAlign w:val="center"/>
            <w:hideMark/>
          </w:tcPr>
          <w:p w14:paraId="3C4432A8" w14:textId="03377CAB" w:rsidR="0085691D" w:rsidRPr="00C85769" w:rsidRDefault="0085691D" w:rsidP="0085691D">
            <w:pPr>
              <w:rPr>
                <w:color w:val="000000"/>
                <w:sz w:val="20"/>
                <w:szCs w:val="20"/>
                <w:lang w:eastAsia="en-GB"/>
              </w:rPr>
            </w:pPr>
            <w:r w:rsidRPr="00C85769">
              <w:rPr>
                <w:color w:val="000000"/>
                <w:sz w:val="20"/>
                <w:szCs w:val="20"/>
                <w:lang w:eastAsia="en-GB"/>
              </w:rPr>
              <w:lastRenderedPageBreak/>
              <w:t>Table</w:t>
            </w:r>
            <w:r w:rsidR="00C40020" w:rsidRPr="00C85769">
              <w:rPr>
                <w:color w:val="000000"/>
                <w:sz w:val="20"/>
                <w:szCs w:val="20"/>
                <w:lang w:eastAsia="en-GB"/>
              </w:rPr>
              <w:t>13</w:t>
            </w:r>
            <w:r w:rsidRPr="00C85769">
              <w:rPr>
                <w:color w:val="000000"/>
                <w:sz w:val="20"/>
                <w:szCs w:val="20"/>
                <w:lang w:eastAsia="en-GB"/>
              </w:rPr>
              <w:t>: Proportion of Harrow’s Primary School Year 6 pupils (as at the May school census) transferring across to Year 7 in Harrow’s High Schools (as at the October school census)</w:t>
            </w:r>
          </w:p>
        </w:tc>
      </w:tr>
      <w:tr w:rsidR="00207FD7" w:rsidRPr="00C85769" w14:paraId="2F54AEF3" w14:textId="77777777" w:rsidTr="005570B1">
        <w:trPr>
          <w:trHeight w:val="837"/>
        </w:trPr>
        <w:tc>
          <w:tcPr>
            <w:tcW w:w="52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972B29" w14:textId="453922C8" w:rsidR="0085691D" w:rsidRPr="00C85769" w:rsidRDefault="0085691D" w:rsidP="00207FD7">
            <w:pPr>
              <w:jc w:val="center"/>
              <w:rPr>
                <w:b/>
                <w:bCs/>
                <w:color w:val="000000"/>
                <w:sz w:val="20"/>
                <w:szCs w:val="20"/>
                <w:lang w:eastAsia="en-GB"/>
              </w:rPr>
            </w:pPr>
            <w:r w:rsidRPr="00C85769">
              <w:rPr>
                <w:b/>
                <w:bCs/>
                <w:color w:val="000000"/>
                <w:sz w:val="20"/>
                <w:szCs w:val="20"/>
                <w:lang w:eastAsia="en-GB"/>
              </w:rPr>
              <w:t>School Census</w:t>
            </w:r>
          </w:p>
        </w:tc>
        <w:tc>
          <w:tcPr>
            <w:tcW w:w="91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5F9A83" w14:textId="7820C44C" w:rsidR="0085691D" w:rsidRPr="00C85769" w:rsidRDefault="0085691D" w:rsidP="0085691D">
            <w:pPr>
              <w:jc w:val="center"/>
              <w:rPr>
                <w:b/>
                <w:bCs/>
                <w:color w:val="000000"/>
                <w:sz w:val="20"/>
                <w:szCs w:val="20"/>
                <w:lang w:eastAsia="en-GB"/>
              </w:rPr>
            </w:pPr>
            <w:r w:rsidRPr="00C85769">
              <w:rPr>
                <w:b/>
                <w:bCs/>
                <w:color w:val="000000"/>
                <w:sz w:val="20"/>
                <w:szCs w:val="20"/>
                <w:lang w:eastAsia="en-GB"/>
              </w:rPr>
              <w:t>Total Yr 6</w:t>
            </w:r>
            <w:r w:rsidR="00B043FF" w:rsidRPr="00C85769">
              <w:rPr>
                <w:b/>
                <w:bCs/>
                <w:color w:val="000000"/>
                <w:sz w:val="20"/>
                <w:szCs w:val="20"/>
                <w:lang w:eastAsia="en-GB"/>
              </w:rPr>
              <w:t>*</w:t>
            </w:r>
            <w:r w:rsidRPr="00C85769">
              <w:rPr>
                <w:b/>
                <w:bCs/>
                <w:color w:val="000000"/>
                <w:sz w:val="20"/>
                <w:szCs w:val="20"/>
                <w:lang w:eastAsia="en-GB"/>
              </w:rPr>
              <w:t xml:space="preserve"> in Harrow primary schools as at School Census</w:t>
            </w:r>
          </w:p>
        </w:tc>
        <w:tc>
          <w:tcPr>
            <w:tcW w:w="5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7B76C88" w14:textId="77777777" w:rsidR="0085691D" w:rsidRPr="00C85769" w:rsidRDefault="0085691D" w:rsidP="0085691D">
            <w:pPr>
              <w:jc w:val="center"/>
              <w:rPr>
                <w:b/>
                <w:bCs/>
                <w:color w:val="000000"/>
                <w:sz w:val="20"/>
                <w:szCs w:val="20"/>
                <w:lang w:eastAsia="en-GB"/>
              </w:rPr>
            </w:pPr>
            <w:r w:rsidRPr="00C85769">
              <w:rPr>
                <w:b/>
                <w:bCs/>
                <w:color w:val="000000"/>
                <w:sz w:val="20"/>
                <w:szCs w:val="20"/>
                <w:lang w:eastAsia="en-GB"/>
              </w:rPr>
              <w:t>October School Census</w:t>
            </w:r>
          </w:p>
        </w:tc>
        <w:tc>
          <w:tcPr>
            <w:tcW w:w="152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2CB682F" w14:textId="77777777" w:rsidR="0085691D" w:rsidRPr="00C85769" w:rsidRDefault="0085691D" w:rsidP="0085691D">
            <w:pPr>
              <w:jc w:val="center"/>
              <w:rPr>
                <w:b/>
                <w:bCs/>
                <w:color w:val="000000"/>
                <w:sz w:val="20"/>
                <w:szCs w:val="20"/>
                <w:lang w:eastAsia="en-GB"/>
              </w:rPr>
            </w:pPr>
            <w:r w:rsidRPr="00C85769">
              <w:rPr>
                <w:b/>
                <w:bCs/>
                <w:color w:val="000000"/>
                <w:sz w:val="20"/>
                <w:szCs w:val="20"/>
                <w:lang w:eastAsia="en-GB"/>
              </w:rPr>
              <w:t>No. of Harrow primary school Yr 6 pupils transferring to Yr 7 in Harrow's high schools as at October School Census*</w:t>
            </w:r>
          </w:p>
        </w:tc>
        <w:tc>
          <w:tcPr>
            <w:tcW w:w="64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068B78F" w14:textId="77777777" w:rsidR="0085691D" w:rsidRPr="00C85769" w:rsidRDefault="0085691D" w:rsidP="0085691D">
            <w:pPr>
              <w:jc w:val="center"/>
              <w:rPr>
                <w:b/>
                <w:bCs/>
                <w:color w:val="000000"/>
                <w:sz w:val="20"/>
                <w:szCs w:val="20"/>
                <w:lang w:eastAsia="en-GB"/>
              </w:rPr>
            </w:pPr>
            <w:r w:rsidRPr="00C85769">
              <w:rPr>
                <w:b/>
                <w:bCs/>
                <w:color w:val="000000"/>
                <w:sz w:val="20"/>
                <w:szCs w:val="20"/>
                <w:lang w:eastAsia="en-GB"/>
              </w:rPr>
              <w:t>% transferring</w:t>
            </w:r>
          </w:p>
        </w:tc>
        <w:tc>
          <w:tcPr>
            <w:tcW w:w="8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C568C64" w14:textId="417DE776" w:rsidR="0085691D" w:rsidRPr="00C85769" w:rsidRDefault="0085691D" w:rsidP="0085691D">
            <w:pPr>
              <w:jc w:val="center"/>
              <w:rPr>
                <w:b/>
                <w:bCs/>
                <w:color w:val="000000"/>
                <w:sz w:val="20"/>
                <w:szCs w:val="20"/>
                <w:lang w:eastAsia="en-GB"/>
              </w:rPr>
            </w:pPr>
            <w:r w:rsidRPr="00C85769">
              <w:rPr>
                <w:b/>
                <w:bCs/>
                <w:color w:val="000000"/>
                <w:sz w:val="20"/>
                <w:szCs w:val="20"/>
                <w:lang w:eastAsia="en-GB"/>
              </w:rPr>
              <w:t>Yr 7 Number</w:t>
            </w:r>
            <w:r w:rsidR="006619FE" w:rsidRPr="00C85769">
              <w:rPr>
                <w:b/>
                <w:bCs/>
                <w:color w:val="000000"/>
                <w:sz w:val="20"/>
                <w:szCs w:val="20"/>
                <w:lang w:eastAsia="en-GB"/>
              </w:rPr>
              <w:t>*</w:t>
            </w:r>
            <w:r w:rsidRPr="00C85769">
              <w:rPr>
                <w:b/>
                <w:bCs/>
                <w:color w:val="000000"/>
                <w:sz w:val="20"/>
                <w:szCs w:val="20"/>
                <w:lang w:eastAsia="en-GB"/>
              </w:rPr>
              <w:t xml:space="preserve"> on Roll as at October School Census</w:t>
            </w:r>
          </w:p>
        </w:tc>
      </w:tr>
      <w:tr w:rsidR="00207FD7" w:rsidRPr="00C85769" w14:paraId="0B4C21E6" w14:textId="77777777" w:rsidTr="005570B1">
        <w:trPr>
          <w:trHeight w:val="315"/>
        </w:trPr>
        <w:tc>
          <w:tcPr>
            <w:tcW w:w="5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C8613D" w14:textId="77777777" w:rsidR="0085691D" w:rsidRPr="00C85769" w:rsidRDefault="0085691D" w:rsidP="0085691D">
            <w:pPr>
              <w:jc w:val="center"/>
              <w:rPr>
                <w:color w:val="000000"/>
                <w:sz w:val="20"/>
                <w:szCs w:val="20"/>
                <w:lang w:eastAsia="en-GB"/>
              </w:rPr>
            </w:pPr>
            <w:r w:rsidRPr="00C85769">
              <w:rPr>
                <w:color w:val="000000"/>
                <w:sz w:val="20"/>
                <w:szCs w:val="20"/>
                <w:lang w:eastAsia="en-GB"/>
              </w:rPr>
              <w:t>May-10</w:t>
            </w:r>
          </w:p>
        </w:tc>
        <w:tc>
          <w:tcPr>
            <w:tcW w:w="9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474D82" w14:textId="77777777" w:rsidR="0085691D" w:rsidRPr="00C85769" w:rsidRDefault="0085691D" w:rsidP="0085691D">
            <w:pPr>
              <w:jc w:val="center"/>
              <w:rPr>
                <w:color w:val="000000"/>
                <w:sz w:val="20"/>
                <w:szCs w:val="20"/>
                <w:lang w:eastAsia="en-GB"/>
              </w:rPr>
            </w:pPr>
            <w:r w:rsidRPr="00C85769">
              <w:rPr>
                <w:color w:val="000000"/>
                <w:sz w:val="20"/>
                <w:szCs w:val="20"/>
                <w:lang w:eastAsia="en-GB"/>
              </w:rPr>
              <w:t>2,394</w:t>
            </w:r>
          </w:p>
        </w:tc>
        <w:tc>
          <w:tcPr>
            <w:tcW w:w="5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27540BA" w14:textId="77777777" w:rsidR="0085691D" w:rsidRPr="00C85769" w:rsidRDefault="0085691D" w:rsidP="0085691D">
            <w:pPr>
              <w:jc w:val="center"/>
              <w:rPr>
                <w:color w:val="000000"/>
                <w:sz w:val="20"/>
                <w:szCs w:val="20"/>
                <w:lang w:eastAsia="en-GB"/>
              </w:rPr>
            </w:pPr>
            <w:r w:rsidRPr="00C85769">
              <w:rPr>
                <w:color w:val="000000"/>
                <w:sz w:val="20"/>
                <w:szCs w:val="20"/>
                <w:lang w:eastAsia="en-GB"/>
              </w:rPr>
              <w:t>Oct-10</w:t>
            </w:r>
          </w:p>
        </w:tc>
        <w:tc>
          <w:tcPr>
            <w:tcW w:w="15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410ADF" w14:textId="77777777" w:rsidR="0085691D" w:rsidRPr="00C85769" w:rsidRDefault="0085691D" w:rsidP="0085691D">
            <w:pPr>
              <w:jc w:val="center"/>
              <w:rPr>
                <w:color w:val="000000"/>
                <w:sz w:val="20"/>
                <w:szCs w:val="20"/>
                <w:lang w:eastAsia="en-GB"/>
              </w:rPr>
            </w:pPr>
            <w:r w:rsidRPr="00C85769">
              <w:rPr>
                <w:color w:val="000000"/>
                <w:sz w:val="20"/>
                <w:szCs w:val="20"/>
                <w:lang w:eastAsia="en-GB"/>
              </w:rPr>
              <w:t>1,709</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4AC4AF" w14:textId="77777777" w:rsidR="0085691D" w:rsidRPr="00C85769" w:rsidRDefault="0085691D" w:rsidP="0085691D">
            <w:pPr>
              <w:jc w:val="center"/>
              <w:rPr>
                <w:color w:val="000000"/>
                <w:sz w:val="20"/>
                <w:szCs w:val="20"/>
                <w:lang w:eastAsia="en-GB"/>
              </w:rPr>
            </w:pPr>
            <w:r w:rsidRPr="00C85769">
              <w:rPr>
                <w:color w:val="000000"/>
                <w:sz w:val="20"/>
                <w:szCs w:val="20"/>
                <w:lang w:eastAsia="en-GB"/>
              </w:rPr>
              <w:t>71.4%</w:t>
            </w:r>
          </w:p>
        </w:tc>
        <w:tc>
          <w:tcPr>
            <w:tcW w:w="8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6845D8" w14:textId="77777777" w:rsidR="0085691D" w:rsidRPr="00C85769" w:rsidRDefault="0085691D" w:rsidP="0085691D">
            <w:pPr>
              <w:jc w:val="center"/>
              <w:rPr>
                <w:color w:val="000000"/>
                <w:sz w:val="20"/>
                <w:szCs w:val="20"/>
                <w:lang w:eastAsia="en-GB"/>
              </w:rPr>
            </w:pPr>
            <w:r w:rsidRPr="00C85769">
              <w:rPr>
                <w:color w:val="000000"/>
                <w:sz w:val="20"/>
                <w:szCs w:val="20"/>
                <w:lang w:eastAsia="en-GB"/>
              </w:rPr>
              <w:t>1,972</w:t>
            </w:r>
          </w:p>
        </w:tc>
      </w:tr>
      <w:tr w:rsidR="00207FD7" w:rsidRPr="00C85769" w14:paraId="5C59AEC5" w14:textId="77777777" w:rsidTr="005570B1">
        <w:trPr>
          <w:trHeight w:val="315"/>
        </w:trPr>
        <w:tc>
          <w:tcPr>
            <w:tcW w:w="5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BD3167" w14:textId="77777777" w:rsidR="0085691D" w:rsidRPr="00C85769" w:rsidRDefault="0085691D" w:rsidP="0085691D">
            <w:pPr>
              <w:jc w:val="center"/>
              <w:rPr>
                <w:color w:val="000000"/>
                <w:sz w:val="20"/>
                <w:szCs w:val="20"/>
                <w:lang w:eastAsia="en-GB"/>
              </w:rPr>
            </w:pPr>
            <w:r w:rsidRPr="00C85769">
              <w:rPr>
                <w:color w:val="000000"/>
                <w:sz w:val="20"/>
                <w:szCs w:val="20"/>
                <w:lang w:eastAsia="en-GB"/>
              </w:rPr>
              <w:t>May-11</w:t>
            </w:r>
          </w:p>
        </w:tc>
        <w:tc>
          <w:tcPr>
            <w:tcW w:w="9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1CDC6A" w14:textId="77777777" w:rsidR="0085691D" w:rsidRPr="00C85769" w:rsidRDefault="0085691D" w:rsidP="0085691D">
            <w:pPr>
              <w:jc w:val="center"/>
              <w:rPr>
                <w:color w:val="000000"/>
                <w:sz w:val="20"/>
                <w:szCs w:val="20"/>
                <w:lang w:eastAsia="en-GB"/>
              </w:rPr>
            </w:pPr>
            <w:r w:rsidRPr="00C85769">
              <w:rPr>
                <w:color w:val="000000"/>
                <w:sz w:val="20"/>
                <w:szCs w:val="20"/>
                <w:lang w:eastAsia="en-GB"/>
              </w:rPr>
              <w:t>2,408</w:t>
            </w:r>
          </w:p>
        </w:tc>
        <w:tc>
          <w:tcPr>
            <w:tcW w:w="5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140977F" w14:textId="08973C8E" w:rsidR="0085691D" w:rsidRPr="00C85769" w:rsidRDefault="0085691D" w:rsidP="00207FD7">
            <w:pPr>
              <w:jc w:val="center"/>
              <w:rPr>
                <w:color w:val="000000"/>
                <w:sz w:val="20"/>
                <w:szCs w:val="20"/>
                <w:lang w:eastAsia="en-GB"/>
              </w:rPr>
            </w:pPr>
            <w:r w:rsidRPr="00C85769">
              <w:rPr>
                <w:color w:val="000000"/>
                <w:sz w:val="20"/>
                <w:szCs w:val="20"/>
                <w:lang w:eastAsia="en-GB"/>
              </w:rPr>
              <w:t>Jan</w:t>
            </w:r>
            <w:r w:rsidR="00207FD7" w:rsidRPr="00C85769">
              <w:rPr>
                <w:color w:val="000000"/>
                <w:sz w:val="20"/>
                <w:szCs w:val="20"/>
                <w:lang w:eastAsia="en-GB"/>
              </w:rPr>
              <w:t>-</w:t>
            </w:r>
            <w:r w:rsidRPr="00C85769">
              <w:rPr>
                <w:color w:val="000000"/>
                <w:sz w:val="20"/>
                <w:szCs w:val="20"/>
                <w:lang w:eastAsia="en-GB"/>
              </w:rPr>
              <w:t>12**</w:t>
            </w:r>
          </w:p>
        </w:tc>
        <w:tc>
          <w:tcPr>
            <w:tcW w:w="15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00841B" w14:textId="77777777" w:rsidR="0085691D" w:rsidRPr="00C85769" w:rsidRDefault="0085691D" w:rsidP="0085691D">
            <w:pPr>
              <w:jc w:val="center"/>
              <w:rPr>
                <w:color w:val="000000"/>
                <w:sz w:val="20"/>
                <w:szCs w:val="20"/>
                <w:lang w:eastAsia="en-GB"/>
              </w:rPr>
            </w:pPr>
            <w:r w:rsidRPr="00C85769">
              <w:rPr>
                <w:color w:val="000000"/>
                <w:sz w:val="20"/>
                <w:szCs w:val="20"/>
                <w:lang w:eastAsia="en-GB"/>
              </w:rPr>
              <w:t>1,716</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D8D6A6" w14:textId="77777777" w:rsidR="0085691D" w:rsidRPr="00C85769" w:rsidRDefault="0085691D" w:rsidP="0085691D">
            <w:pPr>
              <w:jc w:val="center"/>
              <w:rPr>
                <w:color w:val="000000"/>
                <w:sz w:val="20"/>
                <w:szCs w:val="20"/>
                <w:lang w:eastAsia="en-GB"/>
              </w:rPr>
            </w:pPr>
            <w:r w:rsidRPr="00C85769">
              <w:rPr>
                <w:color w:val="000000"/>
                <w:sz w:val="20"/>
                <w:szCs w:val="20"/>
                <w:lang w:eastAsia="en-GB"/>
              </w:rPr>
              <w:t>71.6%</w:t>
            </w:r>
          </w:p>
        </w:tc>
        <w:tc>
          <w:tcPr>
            <w:tcW w:w="8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AF97A7" w14:textId="77777777" w:rsidR="0085691D" w:rsidRPr="00C85769" w:rsidRDefault="0085691D" w:rsidP="0085691D">
            <w:pPr>
              <w:jc w:val="center"/>
              <w:rPr>
                <w:color w:val="000000"/>
                <w:sz w:val="20"/>
                <w:szCs w:val="20"/>
                <w:lang w:eastAsia="en-GB"/>
              </w:rPr>
            </w:pPr>
            <w:r w:rsidRPr="00C85769">
              <w:rPr>
                <w:color w:val="000000"/>
                <w:sz w:val="20"/>
                <w:szCs w:val="20"/>
                <w:lang w:eastAsia="en-GB"/>
              </w:rPr>
              <w:t>2,088</w:t>
            </w:r>
          </w:p>
        </w:tc>
      </w:tr>
      <w:tr w:rsidR="00207FD7" w:rsidRPr="00C85769" w14:paraId="5F61AF82" w14:textId="77777777" w:rsidTr="005570B1">
        <w:trPr>
          <w:trHeight w:val="315"/>
        </w:trPr>
        <w:tc>
          <w:tcPr>
            <w:tcW w:w="5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9291E1" w14:textId="77777777" w:rsidR="0085691D" w:rsidRPr="00C85769" w:rsidRDefault="0085691D" w:rsidP="0085691D">
            <w:pPr>
              <w:jc w:val="center"/>
              <w:rPr>
                <w:color w:val="000000"/>
                <w:sz w:val="20"/>
                <w:szCs w:val="20"/>
                <w:lang w:eastAsia="en-GB"/>
              </w:rPr>
            </w:pPr>
            <w:r w:rsidRPr="00C85769">
              <w:rPr>
                <w:color w:val="000000"/>
                <w:sz w:val="20"/>
                <w:szCs w:val="20"/>
                <w:lang w:eastAsia="en-GB"/>
              </w:rPr>
              <w:t>May-12</w:t>
            </w:r>
          </w:p>
        </w:tc>
        <w:tc>
          <w:tcPr>
            <w:tcW w:w="9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F36E88" w14:textId="77777777" w:rsidR="0085691D" w:rsidRPr="00C85769" w:rsidRDefault="0085691D" w:rsidP="0085691D">
            <w:pPr>
              <w:jc w:val="center"/>
              <w:rPr>
                <w:color w:val="000000"/>
                <w:sz w:val="20"/>
                <w:szCs w:val="20"/>
                <w:lang w:eastAsia="en-GB"/>
              </w:rPr>
            </w:pPr>
            <w:r w:rsidRPr="00C85769">
              <w:rPr>
                <w:color w:val="000000"/>
                <w:sz w:val="20"/>
                <w:szCs w:val="20"/>
                <w:lang w:eastAsia="en-GB"/>
              </w:rPr>
              <w:t>2,333</w:t>
            </w:r>
          </w:p>
        </w:tc>
        <w:tc>
          <w:tcPr>
            <w:tcW w:w="5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1E432BF" w14:textId="77777777" w:rsidR="0085691D" w:rsidRPr="00C85769" w:rsidRDefault="0085691D" w:rsidP="0085691D">
            <w:pPr>
              <w:jc w:val="center"/>
              <w:rPr>
                <w:color w:val="000000"/>
                <w:sz w:val="20"/>
                <w:szCs w:val="20"/>
                <w:lang w:eastAsia="en-GB"/>
              </w:rPr>
            </w:pPr>
            <w:r w:rsidRPr="00C85769">
              <w:rPr>
                <w:color w:val="000000"/>
                <w:sz w:val="20"/>
                <w:szCs w:val="20"/>
                <w:lang w:eastAsia="en-GB"/>
              </w:rPr>
              <w:t>Oct-12</w:t>
            </w:r>
          </w:p>
        </w:tc>
        <w:tc>
          <w:tcPr>
            <w:tcW w:w="15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7B8CFA" w14:textId="77777777" w:rsidR="0085691D" w:rsidRPr="00C85769" w:rsidRDefault="0085691D" w:rsidP="0085691D">
            <w:pPr>
              <w:jc w:val="center"/>
              <w:rPr>
                <w:color w:val="000000"/>
                <w:sz w:val="20"/>
                <w:szCs w:val="20"/>
                <w:lang w:eastAsia="en-GB"/>
              </w:rPr>
            </w:pPr>
            <w:r w:rsidRPr="00C85769">
              <w:rPr>
                <w:color w:val="000000"/>
                <w:sz w:val="20"/>
                <w:szCs w:val="20"/>
                <w:lang w:eastAsia="en-GB"/>
              </w:rPr>
              <w:t>1,559</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DC0028" w14:textId="77777777" w:rsidR="0085691D" w:rsidRPr="00C85769" w:rsidRDefault="0085691D" w:rsidP="0085691D">
            <w:pPr>
              <w:jc w:val="center"/>
              <w:rPr>
                <w:color w:val="000000"/>
                <w:sz w:val="20"/>
                <w:szCs w:val="20"/>
                <w:lang w:eastAsia="en-GB"/>
              </w:rPr>
            </w:pPr>
            <w:r w:rsidRPr="00C85769">
              <w:rPr>
                <w:color w:val="000000"/>
                <w:sz w:val="20"/>
                <w:szCs w:val="20"/>
                <w:lang w:eastAsia="en-GB"/>
              </w:rPr>
              <w:t>67.4%</w:t>
            </w:r>
          </w:p>
        </w:tc>
        <w:tc>
          <w:tcPr>
            <w:tcW w:w="8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FEADE2" w14:textId="77777777" w:rsidR="0085691D" w:rsidRPr="00C85769" w:rsidRDefault="0085691D" w:rsidP="0085691D">
            <w:pPr>
              <w:jc w:val="center"/>
              <w:rPr>
                <w:color w:val="000000"/>
                <w:sz w:val="20"/>
                <w:szCs w:val="20"/>
                <w:lang w:eastAsia="en-GB"/>
              </w:rPr>
            </w:pPr>
            <w:r w:rsidRPr="00C85769">
              <w:rPr>
                <w:color w:val="000000"/>
                <w:sz w:val="20"/>
                <w:szCs w:val="20"/>
                <w:lang w:eastAsia="en-GB"/>
              </w:rPr>
              <w:t>1,861</w:t>
            </w:r>
          </w:p>
        </w:tc>
      </w:tr>
      <w:tr w:rsidR="00207FD7" w:rsidRPr="00C85769" w14:paraId="69705290" w14:textId="77777777" w:rsidTr="005570B1">
        <w:trPr>
          <w:trHeight w:val="315"/>
        </w:trPr>
        <w:tc>
          <w:tcPr>
            <w:tcW w:w="5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970A75" w14:textId="77777777" w:rsidR="0085691D" w:rsidRPr="00C85769" w:rsidRDefault="0085691D" w:rsidP="0085691D">
            <w:pPr>
              <w:jc w:val="center"/>
              <w:rPr>
                <w:color w:val="000000"/>
                <w:sz w:val="20"/>
                <w:szCs w:val="20"/>
                <w:lang w:eastAsia="en-GB"/>
              </w:rPr>
            </w:pPr>
            <w:r w:rsidRPr="00C85769">
              <w:rPr>
                <w:color w:val="000000"/>
                <w:sz w:val="20"/>
                <w:szCs w:val="20"/>
                <w:lang w:eastAsia="en-GB"/>
              </w:rPr>
              <w:t>May-13</w:t>
            </w:r>
          </w:p>
        </w:tc>
        <w:tc>
          <w:tcPr>
            <w:tcW w:w="9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790A7C" w14:textId="77777777" w:rsidR="0085691D" w:rsidRPr="00C85769" w:rsidRDefault="0085691D" w:rsidP="0085691D">
            <w:pPr>
              <w:jc w:val="center"/>
              <w:rPr>
                <w:color w:val="000000"/>
                <w:sz w:val="20"/>
                <w:szCs w:val="20"/>
                <w:lang w:eastAsia="en-GB"/>
              </w:rPr>
            </w:pPr>
            <w:r w:rsidRPr="00C85769">
              <w:rPr>
                <w:color w:val="000000"/>
                <w:sz w:val="20"/>
                <w:szCs w:val="20"/>
                <w:lang w:eastAsia="en-GB"/>
              </w:rPr>
              <w:t>2,395</w:t>
            </w:r>
          </w:p>
        </w:tc>
        <w:tc>
          <w:tcPr>
            <w:tcW w:w="5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0942B09" w14:textId="77777777" w:rsidR="0085691D" w:rsidRPr="00C85769" w:rsidRDefault="0085691D" w:rsidP="0085691D">
            <w:pPr>
              <w:jc w:val="center"/>
              <w:rPr>
                <w:color w:val="000000"/>
                <w:sz w:val="20"/>
                <w:szCs w:val="20"/>
                <w:lang w:eastAsia="en-GB"/>
              </w:rPr>
            </w:pPr>
            <w:r w:rsidRPr="00C85769">
              <w:rPr>
                <w:color w:val="000000"/>
                <w:sz w:val="20"/>
                <w:szCs w:val="20"/>
                <w:lang w:eastAsia="en-GB"/>
              </w:rPr>
              <w:t>Oct-13</w:t>
            </w:r>
          </w:p>
        </w:tc>
        <w:tc>
          <w:tcPr>
            <w:tcW w:w="15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43D900" w14:textId="77777777" w:rsidR="0085691D" w:rsidRPr="00C85769" w:rsidRDefault="0085691D" w:rsidP="0085691D">
            <w:pPr>
              <w:jc w:val="center"/>
              <w:rPr>
                <w:color w:val="000000"/>
                <w:sz w:val="20"/>
                <w:szCs w:val="20"/>
                <w:lang w:eastAsia="en-GB"/>
              </w:rPr>
            </w:pPr>
            <w:r w:rsidRPr="00C85769">
              <w:rPr>
                <w:color w:val="000000"/>
                <w:sz w:val="20"/>
                <w:szCs w:val="20"/>
                <w:lang w:eastAsia="en-GB"/>
              </w:rPr>
              <w:t>1,592</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E8C205" w14:textId="77777777" w:rsidR="0085691D" w:rsidRPr="00C85769" w:rsidRDefault="0085691D" w:rsidP="0085691D">
            <w:pPr>
              <w:jc w:val="center"/>
              <w:rPr>
                <w:color w:val="000000"/>
                <w:sz w:val="20"/>
                <w:szCs w:val="20"/>
                <w:lang w:eastAsia="en-GB"/>
              </w:rPr>
            </w:pPr>
            <w:r w:rsidRPr="00C85769">
              <w:rPr>
                <w:color w:val="000000"/>
                <w:sz w:val="20"/>
                <w:szCs w:val="20"/>
                <w:lang w:eastAsia="en-GB"/>
              </w:rPr>
              <w:t>67.1%</w:t>
            </w:r>
          </w:p>
        </w:tc>
        <w:tc>
          <w:tcPr>
            <w:tcW w:w="8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681EBF" w14:textId="77777777" w:rsidR="0085691D" w:rsidRPr="00C85769" w:rsidRDefault="0085691D" w:rsidP="0085691D">
            <w:pPr>
              <w:jc w:val="center"/>
              <w:rPr>
                <w:color w:val="000000"/>
                <w:sz w:val="20"/>
                <w:szCs w:val="20"/>
                <w:lang w:eastAsia="en-GB"/>
              </w:rPr>
            </w:pPr>
            <w:r w:rsidRPr="00C85769">
              <w:rPr>
                <w:color w:val="000000"/>
                <w:sz w:val="20"/>
                <w:szCs w:val="20"/>
                <w:lang w:eastAsia="en-GB"/>
              </w:rPr>
              <w:t>1,980</w:t>
            </w:r>
          </w:p>
        </w:tc>
      </w:tr>
      <w:tr w:rsidR="00207FD7" w:rsidRPr="00C85769" w14:paraId="0A7E0B5E" w14:textId="77777777" w:rsidTr="005570B1">
        <w:trPr>
          <w:trHeight w:val="315"/>
        </w:trPr>
        <w:tc>
          <w:tcPr>
            <w:tcW w:w="5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1C3B9A" w14:textId="77777777" w:rsidR="0085691D" w:rsidRPr="00C85769" w:rsidRDefault="0085691D" w:rsidP="0085691D">
            <w:pPr>
              <w:jc w:val="center"/>
              <w:rPr>
                <w:color w:val="000000"/>
                <w:sz w:val="20"/>
                <w:szCs w:val="20"/>
                <w:lang w:eastAsia="en-GB"/>
              </w:rPr>
            </w:pPr>
            <w:r w:rsidRPr="00C85769">
              <w:rPr>
                <w:color w:val="000000"/>
                <w:sz w:val="20"/>
                <w:szCs w:val="20"/>
                <w:lang w:eastAsia="en-GB"/>
              </w:rPr>
              <w:t>May-14</w:t>
            </w:r>
          </w:p>
        </w:tc>
        <w:tc>
          <w:tcPr>
            <w:tcW w:w="9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273BE3" w14:textId="77777777" w:rsidR="0085691D" w:rsidRPr="00C85769" w:rsidRDefault="0085691D" w:rsidP="0085691D">
            <w:pPr>
              <w:jc w:val="center"/>
              <w:rPr>
                <w:color w:val="000000"/>
                <w:sz w:val="20"/>
                <w:szCs w:val="20"/>
                <w:lang w:eastAsia="en-GB"/>
              </w:rPr>
            </w:pPr>
            <w:r w:rsidRPr="00C85769">
              <w:rPr>
                <w:color w:val="000000"/>
                <w:sz w:val="20"/>
                <w:szCs w:val="20"/>
                <w:lang w:eastAsia="en-GB"/>
              </w:rPr>
              <w:t>2,545</w:t>
            </w:r>
          </w:p>
        </w:tc>
        <w:tc>
          <w:tcPr>
            <w:tcW w:w="5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317577" w14:textId="77777777" w:rsidR="0085691D" w:rsidRPr="00C85769" w:rsidRDefault="0085691D" w:rsidP="0085691D">
            <w:pPr>
              <w:jc w:val="center"/>
              <w:rPr>
                <w:color w:val="000000"/>
                <w:sz w:val="20"/>
                <w:szCs w:val="20"/>
                <w:lang w:eastAsia="en-GB"/>
              </w:rPr>
            </w:pPr>
            <w:r w:rsidRPr="00C85769">
              <w:rPr>
                <w:color w:val="000000"/>
                <w:sz w:val="20"/>
                <w:szCs w:val="20"/>
                <w:lang w:eastAsia="en-GB"/>
              </w:rPr>
              <w:t>Oct-14</w:t>
            </w:r>
          </w:p>
        </w:tc>
        <w:tc>
          <w:tcPr>
            <w:tcW w:w="15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7435C3" w14:textId="77777777" w:rsidR="0085691D" w:rsidRPr="00C85769" w:rsidRDefault="0085691D" w:rsidP="0085691D">
            <w:pPr>
              <w:jc w:val="center"/>
              <w:rPr>
                <w:color w:val="000000"/>
                <w:sz w:val="20"/>
                <w:szCs w:val="20"/>
                <w:lang w:eastAsia="en-GB"/>
              </w:rPr>
            </w:pPr>
            <w:r w:rsidRPr="00C85769">
              <w:rPr>
                <w:color w:val="000000"/>
                <w:sz w:val="20"/>
                <w:szCs w:val="20"/>
                <w:lang w:eastAsia="en-GB"/>
              </w:rPr>
              <w:t>1,697</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3F6A62" w14:textId="77777777" w:rsidR="0085691D" w:rsidRPr="00C85769" w:rsidRDefault="0085691D" w:rsidP="0085691D">
            <w:pPr>
              <w:jc w:val="center"/>
              <w:rPr>
                <w:color w:val="000000"/>
                <w:sz w:val="20"/>
                <w:szCs w:val="20"/>
                <w:lang w:eastAsia="en-GB"/>
              </w:rPr>
            </w:pPr>
            <w:r w:rsidRPr="00C85769">
              <w:rPr>
                <w:color w:val="000000"/>
                <w:sz w:val="20"/>
                <w:szCs w:val="20"/>
                <w:lang w:eastAsia="en-GB"/>
              </w:rPr>
              <w:t>66.7%</w:t>
            </w:r>
          </w:p>
        </w:tc>
        <w:tc>
          <w:tcPr>
            <w:tcW w:w="8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E104B3" w14:textId="77777777" w:rsidR="0085691D" w:rsidRPr="00C85769" w:rsidRDefault="0085691D" w:rsidP="0085691D">
            <w:pPr>
              <w:jc w:val="center"/>
              <w:rPr>
                <w:color w:val="000000"/>
                <w:sz w:val="20"/>
                <w:szCs w:val="20"/>
                <w:lang w:eastAsia="en-GB"/>
              </w:rPr>
            </w:pPr>
            <w:r w:rsidRPr="00C85769">
              <w:rPr>
                <w:color w:val="000000"/>
                <w:sz w:val="20"/>
                <w:szCs w:val="20"/>
                <w:lang w:eastAsia="en-GB"/>
              </w:rPr>
              <w:t>2,172</w:t>
            </w:r>
          </w:p>
        </w:tc>
      </w:tr>
      <w:tr w:rsidR="00207FD7" w:rsidRPr="00C85769" w14:paraId="7C26D4E3" w14:textId="77777777" w:rsidTr="005570B1">
        <w:trPr>
          <w:trHeight w:val="315"/>
        </w:trPr>
        <w:tc>
          <w:tcPr>
            <w:tcW w:w="5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86BB70" w14:textId="77777777" w:rsidR="0085691D" w:rsidRPr="00C85769" w:rsidRDefault="0085691D" w:rsidP="0085691D">
            <w:pPr>
              <w:jc w:val="center"/>
              <w:rPr>
                <w:color w:val="000000"/>
                <w:sz w:val="20"/>
                <w:szCs w:val="20"/>
                <w:lang w:eastAsia="en-GB"/>
              </w:rPr>
            </w:pPr>
            <w:r w:rsidRPr="00C85769">
              <w:rPr>
                <w:color w:val="000000"/>
                <w:sz w:val="20"/>
                <w:szCs w:val="20"/>
                <w:lang w:eastAsia="en-GB"/>
              </w:rPr>
              <w:t>May-15</w:t>
            </w:r>
          </w:p>
        </w:tc>
        <w:tc>
          <w:tcPr>
            <w:tcW w:w="9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D18A8E" w14:textId="77777777" w:rsidR="0085691D" w:rsidRPr="00C85769" w:rsidRDefault="0085691D" w:rsidP="0085691D">
            <w:pPr>
              <w:jc w:val="center"/>
              <w:rPr>
                <w:color w:val="000000"/>
                <w:sz w:val="20"/>
                <w:szCs w:val="20"/>
                <w:lang w:eastAsia="en-GB"/>
              </w:rPr>
            </w:pPr>
            <w:r w:rsidRPr="00C85769">
              <w:rPr>
                <w:color w:val="000000"/>
                <w:sz w:val="20"/>
                <w:szCs w:val="20"/>
                <w:lang w:eastAsia="en-GB"/>
              </w:rPr>
              <w:t>2,597</w:t>
            </w:r>
          </w:p>
        </w:tc>
        <w:tc>
          <w:tcPr>
            <w:tcW w:w="5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0BD65BE" w14:textId="77777777" w:rsidR="0085691D" w:rsidRPr="00C85769" w:rsidRDefault="0085691D" w:rsidP="0085691D">
            <w:pPr>
              <w:jc w:val="center"/>
              <w:rPr>
                <w:color w:val="000000"/>
                <w:sz w:val="20"/>
                <w:szCs w:val="20"/>
                <w:lang w:eastAsia="en-GB"/>
              </w:rPr>
            </w:pPr>
            <w:r w:rsidRPr="00C85769">
              <w:rPr>
                <w:color w:val="000000"/>
                <w:sz w:val="20"/>
                <w:szCs w:val="20"/>
                <w:lang w:eastAsia="en-GB"/>
              </w:rPr>
              <w:t>Oct-15</w:t>
            </w:r>
          </w:p>
        </w:tc>
        <w:tc>
          <w:tcPr>
            <w:tcW w:w="15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F5031D" w14:textId="77777777" w:rsidR="0085691D" w:rsidRPr="00C85769" w:rsidRDefault="0085691D" w:rsidP="0085691D">
            <w:pPr>
              <w:jc w:val="center"/>
              <w:rPr>
                <w:color w:val="000000"/>
                <w:sz w:val="20"/>
                <w:szCs w:val="20"/>
                <w:lang w:eastAsia="en-GB"/>
              </w:rPr>
            </w:pPr>
            <w:r w:rsidRPr="00C85769">
              <w:rPr>
                <w:color w:val="000000"/>
                <w:sz w:val="20"/>
                <w:szCs w:val="20"/>
                <w:lang w:eastAsia="en-GB"/>
              </w:rPr>
              <w:t>1,721</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854840" w14:textId="77777777" w:rsidR="0085691D" w:rsidRPr="00C85769" w:rsidRDefault="0085691D" w:rsidP="0085691D">
            <w:pPr>
              <w:jc w:val="center"/>
              <w:rPr>
                <w:color w:val="000000"/>
                <w:sz w:val="20"/>
                <w:szCs w:val="20"/>
                <w:lang w:eastAsia="en-GB"/>
              </w:rPr>
            </w:pPr>
            <w:r w:rsidRPr="00C85769">
              <w:rPr>
                <w:color w:val="000000"/>
                <w:sz w:val="20"/>
                <w:szCs w:val="20"/>
                <w:lang w:eastAsia="en-GB"/>
              </w:rPr>
              <w:t>66.3%</w:t>
            </w:r>
          </w:p>
        </w:tc>
        <w:tc>
          <w:tcPr>
            <w:tcW w:w="8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319B7D" w14:textId="77777777" w:rsidR="0085691D" w:rsidRPr="00C85769" w:rsidRDefault="0085691D" w:rsidP="0085691D">
            <w:pPr>
              <w:jc w:val="center"/>
              <w:rPr>
                <w:color w:val="000000"/>
                <w:sz w:val="20"/>
                <w:szCs w:val="20"/>
                <w:lang w:eastAsia="en-GB"/>
              </w:rPr>
            </w:pPr>
            <w:r w:rsidRPr="00C85769">
              <w:rPr>
                <w:color w:val="000000"/>
                <w:sz w:val="20"/>
                <w:szCs w:val="20"/>
                <w:lang w:eastAsia="en-GB"/>
              </w:rPr>
              <w:t>2,198</w:t>
            </w:r>
          </w:p>
        </w:tc>
      </w:tr>
      <w:tr w:rsidR="00207FD7" w:rsidRPr="00C85769" w14:paraId="1D0A47B3" w14:textId="77777777" w:rsidTr="005570B1">
        <w:trPr>
          <w:trHeight w:val="315"/>
        </w:trPr>
        <w:tc>
          <w:tcPr>
            <w:tcW w:w="5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C1F76E" w14:textId="77777777" w:rsidR="0085691D" w:rsidRPr="00C85769" w:rsidRDefault="0085691D" w:rsidP="0085691D">
            <w:pPr>
              <w:jc w:val="center"/>
              <w:rPr>
                <w:color w:val="000000"/>
                <w:sz w:val="20"/>
                <w:szCs w:val="20"/>
                <w:lang w:eastAsia="en-GB"/>
              </w:rPr>
            </w:pPr>
            <w:r w:rsidRPr="00C85769">
              <w:rPr>
                <w:color w:val="000000"/>
                <w:sz w:val="20"/>
                <w:szCs w:val="20"/>
                <w:lang w:eastAsia="en-GB"/>
              </w:rPr>
              <w:t>May-16</w:t>
            </w:r>
          </w:p>
        </w:tc>
        <w:tc>
          <w:tcPr>
            <w:tcW w:w="9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3E379D" w14:textId="77777777" w:rsidR="0085691D" w:rsidRPr="00C85769" w:rsidRDefault="0085691D" w:rsidP="0085691D">
            <w:pPr>
              <w:jc w:val="center"/>
              <w:rPr>
                <w:color w:val="000000"/>
                <w:sz w:val="20"/>
                <w:szCs w:val="20"/>
                <w:lang w:eastAsia="en-GB"/>
              </w:rPr>
            </w:pPr>
            <w:r w:rsidRPr="00C85769">
              <w:rPr>
                <w:color w:val="000000"/>
                <w:sz w:val="20"/>
                <w:szCs w:val="20"/>
                <w:lang w:eastAsia="en-GB"/>
              </w:rPr>
              <w:t>2,711</w:t>
            </w:r>
          </w:p>
        </w:tc>
        <w:tc>
          <w:tcPr>
            <w:tcW w:w="5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1E8573B" w14:textId="77777777" w:rsidR="0085691D" w:rsidRPr="00C85769" w:rsidRDefault="0085691D" w:rsidP="0085691D">
            <w:pPr>
              <w:jc w:val="center"/>
              <w:rPr>
                <w:color w:val="000000"/>
                <w:sz w:val="20"/>
                <w:szCs w:val="20"/>
                <w:lang w:eastAsia="en-GB"/>
              </w:rPr>
            </w:pPr>
            <w:r w:rsidRPr="00C85769">
              <w:rPr>
                <w:color w:val="000000"/>
                <w:sz w:val="20"/>
                <w:szCs w:val="20"/>
                <w:lang w:eastAsia="en-GB"/>
              </w:rPr>
              <w:t>Oct-16</w:t>
            </w:r>
          </w:p>
        </w:tc>
        <w:tc>
          <w:tcPr>
            <w:tcW w:w="15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673A10" w14:textId="77777777" w:rsidR="0085691D" w:rsidRPr="00C85769" w:rsidRDefault="0085691D" w:rsidP="0085691D">
            <w:pPr>
              <w:jc w:val="center"/>
              <w:rPr>
                <w:color w:val="000000"/>
                <w:sz w:val="20"/>
                <w:szCs w:val="20"/>
                <w:lang w:eastAsia="en-GB"/>
              </w:rPr>
            </w:pPr>
            <w:r w:rsidRPr="00C85769">
              <w:rPr>
                <w:color w:val="000000"/>
                <w:sz w:val="20"/>
                <w:szCs w:val="20"/>
                <w:lang w:eastAsia="en-GB"/>
              </w:rPr>
              <w:t>1,783</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2B6A87" w14:textId="77777777" w:rsidR="0085691D" w:rsidRPr="00C85769" w:rsidRDefault="0085691D" w:rsidP="0085691D">
            <w:pPr>
              <w:jc w:val="center"/>
              <w:rPr>
                <w:color w:val="000000"/>
                <w:sz w:val="20"/>
                <w:szCs w:val="20"/>
                <w:lang w:eastAsia="en-GB"/>
              </w:rPr>
            </w:pPr>
            <w:r w:rsidRPr="00C85769">
              <w:rPr>
                <w:color w:val="000000"/>
                <w:sz w:val="20"/>
                <w:szCs w:val="20"/>
                <w:lang w:eastAsia="en-GB"/>
              </w:rPr>
              <w:t>65.8%</w:t>
            </w:r>
          </w:p>
        </w:tc>
        <w:tc>
          <w:tcPr>
            <w:tcW w:w="8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A29A67" w14:textId="77777777" w:rsidR="0085691D" w:rsidRPr="00C85769" w:rsidRDefault="0085691D" w:rsidP="0085691D">
            <w:pPr>
              <w:jc w:val="center"/>
              <w:rPr>
                <w:color w:val="000000"/>
                <w:sz w:val="20"/>
                <w:szCs w:val="20"/>
                <w:lang w:eastAsia="en-GB"/>
              </w:rPr>
            </w:pPr>
            <w:r w:rsidRPr="00C85769">
              <w:rPr>
                <w:color w:val="000000"/>
                <w:sz w:val="20"/>
                <w:szCs w:val="20"/>
                <w:lang w:eastAsia="en-GB"/>
              </w:rPr>
              <w:t>2,371</w:t>
            </w:r>
          </w:p>
        </w:tc>
      </w:tr>
      <w:tr w:rsidR="00207FD7" w:rsidRPr="00C85769" w14:paraId="3E522915" w14:textId="77777777" w:rsidTr="005570B1">
        <w:trPr>
          <w:trHeight w:val="315"/>
        </w:trPr>
        <w:tc>
          <w:tcPr>
            <w:tcW w:w="5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6D4F42" w14:textId="77777777" w:rsidR="0085691D" w:rsidRPr="00C85769" w:rsidRDefault="0085691D" w:rsidP="0085691D">
            <w:pPr>
              <w:jc w:val="center"/>
              <w:rPr>
                <w:color w:val="000000"/>
                <w:sz w:val="20"/>
                <w:szCs w:val="20"/>
                <w:lang w:eastAsia="en-GB"/>
              </w:rPr>
            </w:pPr>
            <w:r w:rsidRPr="00C85769">
              <w:rPr>
                <w:color w:val="000000"/>
                <w:sz w:val="20"/>
                <w:szCs w:val="20"/>
                <w:lang w:eastAsia="en-GB"/>
              </w:rPr>
              <w:t>May-17</w:t>
            </w:r>
          </w:p>
        </w:tc>
        <w:tc>
          <w:tcPr>
            <w:tcW w:w="9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86576B" w14:textId="77777777" w:rsidR="0085691D" w:rsidRPr="00C85769" w:rsidRDefault="0085691D" w:rsidP="0085691D">
            <w:pPr>
              <w:jc w:val="center"/>
              <w:rPr>
                <w:color w:val="000000"/>
                <w:sz w:val="20"/>
                <w:szCs w:val="20"/>
                <w:lang w:eastAsia="en-GB"/>
              </w:rPr>
            </w:pPr>
            <w:r w:rsidRPr="00C85769">
              <w:rPr>
                <w:color w:val="000000"/>
                <w:sz w:val="20"/>
                <w:szCs w:val="20"/>
                <w:lang w:eastAsia="en-GB"/>
              </w:rPr>
              <w:t>2,761</w:t>
            </w:r>
          </w:p>
        </w:tc>
        <w:tc>
          <w:tcPr>
            <w:tcW w:w="5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6D45F70" w14:textId="77777777" w:rsidR="0085691D" w:rsidRPr="00C85769" w:rsidRDefault="0085691D" w:rsidP="0085691D">
            <w:pPr>
              <w:jc w:val="center"/>
              <w:rPr>
                <w:color w:val="000000"/>
                <w:sz w:val="20"/>
                <w:szCs w:val="20"/>
                <w:lang w:eastAsia="en-GB"/>
              </w:rPr>
            </w:pPr>
            <w:r w:rsidRPr="00C85769">
              <w:rPr>
                <w:color w:val="000000"/>
                <w:sz w:val="20"/>
                <w:szCs w:val="20"/>
                <w:lang w:eastAsia="en-GB"/>
              </w:rPr>
              <w:t>Oct-17</w:t>
            </w:r>
          </w:p>
        </w:tc>
        <w:tc>
          <w:tcPr>
            <w:tcW w:w="15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5E3509" w14:textId="77777777" w:rsidR="0085691D" w:rsidRPr="00C85769" w:rsidRDefault="0085691D" w:rsidP="0085691D">
            <w:pPr>
              <w:jc w:val="center"/>
              <w:rPr>
                <w:color w:val="000000"/>
                <w:sz w:val="20"/>
                <w:szCs w:val="20"/>
                <w:lang w:eastAsia="en-GB"/>
              </w:rPr>
            </w:pPr>
            <w:r w:rsidRPr="00C85769">
              <w:rPr>
                <w:color w:val="000000"/>
                <w:sz w:val="20"/>
                <w:szCs w:val="20"/>
                <w:lang w:eastAsia="en-GB"/>
              </w:rPr>
              <w:t>1,844</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2582F2" w14:textId="77777777" w:rsidR="0085691D" w:rsidRPr="00C85769" w:rsidRDefault="0085691D" w:rsidP="0085691D">
            <w:pPr>
              <w:jc w:val="center"/>
              <w:rPr>
                <w:color w:val="000000"/>
                <w:sz w:val="20"/>
                <w:szCs w:val="20"/>
                <w:lang w:eastAsia="en-GB"/>
              </w:rPr>
            </w:pPr>
            <w:r w:rsidRPr="00C85769">
              <w:rPr>
                <w:color w:val="000000"/>
                <w:sz w:val="20"/>
                <w:szCs w:val="20"/>
                <w:lang w:eastAsia="en-GB"/>
              </w:rPr>
              <w:t>66.7%</w:t>
            </w:r>
          </w:p>
        </w:tc>
        <w:tc>
          <w:tcPr>
            <w:tcW w:w="8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1D4E50" w14:textId="77777777" w:rsidR="0085691D" w:rsidRPr="00C85769" w:rsidRDefault="0085691D" w:rsidP="0085691D">
            <w:pPr>
              <w:jc w:val="center"/>
              <w:rPr>
                <w:color w:val="000000"/>
                <w:sz w:val="20"/>
                <w:szCs w:val="20"/>
                <w:lang w:eastAsia="en-GB"/>
              </w:rPr>
            </w:pPr>
            <w:r w:rsidRPr="00C85769">
              <w:rPr>
                <w:color w:val="000000"/>
                <w:sz w:val="20"/>
                <w:szCs w:val="20"/>
                <w:lang w:eastAsia="en-GB"/>
              </w:rPr>
              <w:t>2,348</w:t>
            </w:r>
          </w:p>
        </w:tc>
      </w:tr>
      <w:tr w:rsidR="00207FD7" w:rsidRPr="00C85769" w14:paraId="427F4C3E" w14:textId="77777777" w:rsidTr="005570B1">
        <w:trPr>
          <w:trHeight w:val="315"/>
        </w:trPr>
        <w:tc>
          <w:tcPr>
            <w:tcW w:w="5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FED22F" w14:textId="77777777" w:rsidR="0085691D" w:rsidRPr="00C85769" w:rsidRDefault="0085691D" w:rsidP="0085691D">
            <w:pPr>
              <w:jc w:val="center"/>
              <w:rPr>
                <w:color w:val="000000"/>
                <w:sz w:val="20"/>
                <w:szCs w:val="20"/>
                <w:lang w:eastAsia="en-GB"/>
              </w:rPr>
            </w:pPr>
            <w:r w:rsidRPr="00C85769">
              <w:rPr>
                <w:color w:val="000000"/>
                <w:sz w:val="20"/>
                <w:szCs w:val="20"/>
                <w:lang w:eastAsia="en-GB"/>
              </w:rPr>
              <w:t>May-18</w:t>
            </w:r>
          </w:p>
        </w:tc>
        <w:tc>
          <w:tcPr>
            <w:tcW w:w="9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D240D1" w14:textId="77777777" w:rsidR="0085691D" w:rsidRPr="00C85769" w:rsidRDefault="0085691D" w:rsidP="0085691D">
            <w:pPr>
              <w:jc w:val="center"/>
              <w:rPr>
                <w:color w:val="000000"/>
                <w:sz w:val="20"/>
                <w:szCs w:val="20"/>
                <w:lang w:eastAsia="en-GB"/>
              </w:rPr>
            </w:pPr>
            <w:r w:rsidRPr="00C85769">
              <w:rPr>
                <w:color w:val="000000"/>
                <w:sz w:val="20"/>
                <w:szCs w:val="20"/>
                <w:lang w:eastAsia="en-GB"/>
              </w:rPr>
              <w:t>2,791</w:t>
            </w:r>
          </w:p>
        </w:tc>
        <w:tc>
          <w:tcPr>
            <w:tcW w:w="5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F0D99C5" w14:textId="77777777" w:rsidR="0085691D" w:rsidRPr="00C85769" w:rsidRDefault="0085691D" w:rsidP="0085691D">
            <w:pPr>
              <w:jc w:val="center"/>
              <w:rPr>
                <w:color w:val="000000"/>
                <w:sz w:val="20"/>
                <w:szCs w:val="20"/>
                <w:lang w:eastAsia="en-GB"/>
              </w:rPr>
            </w:pPr>
            <w:r w:rsidRPr="00C85769">
              <w:rPr>
                <w:color w:val="000000"/>
                <w:sz w:val="20"/>
                <w:szCs w:val="20"/>
                <w:lang w:eastAsia="en-GB"/>
              </w:rPr>
              <w:t>Oct-18</w:t>
            </w:r>
          </w:p>
        </w:tc>
        <w:tc>
          <w:tcPr>
            <w:tcW w:w="15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D1008A" w14:textId="77777777" w:rsidR="0085691D" w:rsidRPr="00C85769" w:rsidRDefault="0085691D" w:rsidP="0085691D">
            <w:pPr>
              <w:jc w:val="center"/>
              <w:rPr>
                <w:color w:val="000000"/>
                <w:sz w:val="20"/>
                <w:szCs w:val="20"/>
                <w:lang w:eastAsia="en-GB"/>
              </w:rPr>
            </w:pPr>
            <w:r w:rsidRPr="00C85769">
              <w:rPr>
                <w:color w:val="000000"/>
                <w:sz w:val="20"/>
                <w:szCs w:val="20"/>
                <w:lang w:eastAsia="en-GB"/>
              </w:rPr>
              <w:t>1,892</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0EB694" w14:textId="77777777" w:rsidR="0085691D" w:rsidRPr="00C85769" w:rsidRDefault="0085691D" w:rsidP="0085691D">
            <w:pPr>
              <w:jc w:val="center"/>
              <w:rPr>
                <w:color w:val="000000"/>
                <w:sz w:val="20"/>
                <w:szCs w:val="20"/>
                <w:lang w:eastAsia="en-GB"/>
              </w:rPr>
            </w:pPr>
            <w:r w:rsidRPr="00C85769">
              <w:rPr>
                <w:color w:val="000000"/>
                <w:sz w:val="20"/>
                <w:szCs w:val="20"/>
                <w:lang w:eastAsia="en-GB"/>
              </w:rPr>
              <w:t>67.8%</w:t>
            </w:r>
          </w:p>
        </w:tc>
        <w:tc>
          <w:tcPr>
            <w:tcW w:w="8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7F1CC3" w14:textId="77777777" w:rsidR="0085691D" w:rsidRPr="00C85769" w:rsidRDefault="0085691D" w:rsidP="0085691D">
            <w:pPr>
              <w:jc w:val="center"/>
              <w:rPr>
                <w:color w:val="000000"/>
                <w:sz w:val="20"/>
                <w:szCs w:val="20"/>
                <w:lang w:eastAsia="en-GB"/>
              </w:rPr>
            </w:pPr>
            <w:r w:rsidRPr="00C85769">
              <w:rPr>
                <w:color w:val="000000"/>
                <w:sz w:val="20"/>
                <w:szCs w:val="20"/>
                <w:lang w:eastAsia="en-GB"/>
              </w:rPr>
              <w:t>2,512</w:t>
            </w:r>
          </w:p>
        </w:tc>
      </w:tr>
      <w:tr w:rsidR="00207FD7" w:rsidRPr="00C85769" w14:paraId="59CD46C2" w14:textId="77777777" w:rsidTr="005570B1">
        <w:trPr>
          <w:trHeight w:val="315"/>
        </w:trPr>
        <w:tc>
          <w:tcPr>
            <w:tcW w:w="5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9CB37A" w14:textId="77777777" w:rsidR="0085691D" w:rsidRPr="00C85769" w:rsidRDefault="0085691D" w:rsidP="0085691D">
            <w:pPr>
              <w:jc w:val="center"/>
              <w:rPr>
                <w:color w:val="000000"/>
                <w:sz w:val="20"/>
                <w:szCs w:val="20"/>
                <w:lang w:eastAsia="en-GB"/>
              </w:rPr>
            </w:pPr>
            <w:r w:rsidRPr="00C85769">
              <w:rPr>
                <w:color w:val="000000"/>
                <w:sz w:val="20"/>
                <w:szCs w:val="20"/>
                <w:lang w:eastAsia="en-GB"/>
              </w:rPr>
              <w:t>May-19</w:t>
            </w:r>
          </w:p>
        </w:tc>
        <w:tc>
          <w:tcPr>
            <w:tcW w:w="9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9E17B4" w14:textId="77777777" w:rsidR="0085691D" w:rsidRPr="00C85769" w:rsidRDefault="0085691D" w:rsidP="0085691D">
            <w:pPr>
              <w:jc w:val="center"/>
              <w:rPr>
                <w:color w:val="000000"/>
                <w:sz w:val="20"/>
                <w:szCs w:val="20"/>
                <w:lang w:eastAsia="en-GB"/>
              </w:rPr>
            </w:pPr>
            <w:r w:rsidRPr="00C85769">
              <w:rPr>
                <w:color w:val="000000"/>
                <w:sz w:val="20"/>
                <w:szCs w:val="20"/>
                <w:lang w:eastAsia="en-GB"/>
              </w:rPr>
              <w:t>2,972</w:t>
            </w:r>
          </w:p>
        </w:tc>
        <w:tc>
          <w:tcPr>
            <w:tcW w:w="5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20019B3" w14:textId="77777777" w:rsidR="0085691D" w:rsidRPr="00C85769" w:rsidRDefault="0085691D" w:rsidP="0085691D">
            <w:pPr>
              <w:jc w:val="center"/>
              <w:rPr>
                <w:color w:val="000000"/>
                <w:sz w:val="20"/>
                <w:szCs w:val="20"/>
                <w:lang w:eastAsia="en-GB"/>
              </w:rPr>
            </w:pPr>
            <w:r w:rsidRPr="00C85769">
              <w:rPr>
                <w:color w:val="000000"/>
                <w:sz w:val="20"/>
                <w:szCs w:val="20"/>
                <w:lang w:eastAsia="en-GB"/>
              </w:rPr>
              <w:t>Oct-19</w:t>
            </w:r>
          </w:p>
        </w:tc>
        <w:tc>
          <w:tcPr>
            <w:tcW w:w="15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E6C28A" w14:textId="77777777" w:rsidR="0085691D" w:rsidRPr="00C85769" w:rsidRDefault="0085691D" w:rsidP="0085691D">
            <w:pPr>
              <w:jc w:val="center"/>
              <w:rPr>
                <w:color w:val="000000"/>
                <w:sz w:val="20"/>
                <w:szCs w:val="20"/>
                <w:lang w:eastAsia="en-GB"/>
              </w:rPr>
            </w:pPr>
            <w:r w:rsidRPr="00C85769">
              <w:rPr>
                <w:color w:val="000000"/>
                <w:sz w:val="20"/>
                <w:szCs w:val="20"/>
                <w:lang w:eastAsia="en-GB"/>
              </w:rPr>
              <w:t>2,072</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C21228" w14:textId="77777777" w:rsidR="0085691D" w:rsidRPr="00C85769" w:rsidRDefault="0085691D" w:rsidP="0085691D">
            <w:pPr>
              <w:jc w:val="center"/>
              <w:rPr>
                <w:color w:val="000000"/>
                <w:sz w:val="20"/>
                <w:szCs w:val="20"/>
                <w:lang w:eastAsia="en-GB"/>
              </w:rPr>
            </w:pPr>
            <w:r w:rsidRPr="00C85769">
              <w:rPr>
                <w:color w:val="000000"/>
                <w:sz w:val="20"/>
                <w:szCs w:val="20"/>
                <w:lang w:eastAsia="en-GB"/>
              </w:rPr>
              <w:t>69.7%</w:t>
            </w:r>
          </w:p>
        </w:tc>
        <w:tc>
          <w:tcPr>
            <w:tcW w:w="8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3F6332" w14:textId="77777777" w:rsidR="0085691D" w:rsidRPr="00C85769" w:rsidRDefault="0085691D" w:rsidP="0085691D">
            <w:pPr>
              <w:jc w:val="center"/>
              <w:rPr>
                <w:color w:val="000000"/>
                <w:sz w:val="20"/>
                <w:szCs w:val="20"/>
                <w:lang w:eastAsia="en-GB"/>
              </w:rPr>
            </w:pPr>
            <w:r w:rsidRPr="00C85769">
              <w:rPr>
                <w:color w:val="000000"/>
                <w:sz w:val="20"/>
                <w:szCs w:val="20"/>
                <w:lang w:eastAsia="en-GB"/>
              </w:rPr>
              <w:t>2,659</w:t>
            </w:r>
          </w:p>
        </w:tc>
      </w:tr>
      <w:tr w:rsidR="0000397B" w:rsidRPr="00C85769" w14:paraId="2D073299" w14:textId="77777777" w:rsidTr="005570B1">
        <w:trPr>
          <w:trHeight w:val="315"/>
        </w:trPr>
        <w:tc>
          <w:tcPr>
            <w:tcW w:w="52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929929B" w14:textId="248292BA" w:rsidR="0000397B" w:rsidRPr="00C85769" w:rsidRDefault="00A4764B" w:rsidP="0085691D">
            <w:pPr>
              <w:jc w:val="center"/>
              <w:rPr>
                <w:color w:val="000000"/>
                <w:sz w:val="20"/>
                <w:szCs w:val="20"/>
                <w:lang w:eastAsia="en-GB"/>
              </w:rPr>
            </w:pPr>
            <w:r w:rsidRPr="00C85769">
              <w:rPr>
                <w:color w:val="000000"/>
                <w:sz w:val="20"/>
                <w:szCs w:val="20"/>
                <w:lang w:eastAsia="en-GB"/>
              </w:rPr>
              <w:t>Jan</w:t>
            </w:r>
            <w:r w:rsidR="0000397B" w:rsidRPr="00C85769">
              <w:rPr>
                <w:color w:val="000000"/>
                <w:sz w:val="20"/>
                <w:szCs w:val="20"/>
                <w:lang w:eastAsia="en-GB"/>
              </w:rPr>
              <w:t>-20</w:t>
            </w:r>
            <w:r w:rsidR="007010CB" w:rsidRPr="00C85769">
              <w:rPr>
                <w:color w:val="000000"/>
                <w:sz w:val="20"/>
                <w:szCs w:val="20"/>
                <w:lang w:eastAsia="en-GB"/>
              </w:rPr>
              <w:t>***</w:t>
            </w:r>
          </w:p>
        </w:tc>
        <w:tc>
          <w:tcPr>
            <w:tcW w:w="91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AEA0832" w14:textId="680838E7" w:rsidR="0000397B" w:rsidRPr="00C85769" w:rsidRDefault="008E1B6E" w:rsidP="0085691D">
            <w:pPr>
              <w:jc w:val="center"/>
              <w:rPr>
                <w:color w:val="000000"/>
                <w:sz w:val="20"/>
                <w:szCs w:val="20"/>
                <w:lang w:eastAsia="en-GB"/>
              </w:rPr>
            </w:pPr>
            <w:r w:rsidRPr="00C85769">
              <w:rPr>
                <w:color w:val="000000"/>
                <w:sz w:val="20"/>
                <w:szCs w:val="20"/>
                <w:lang w:eastAsia="en-GB"/>
              </w:rPr>
              <w:t>3,038</w:t>
            </w:r>
          </w:p>
        </w:tc>
        <w:tc>
          <w:tcPr>
            <w:tcW w:w="513" w:type="pct"/>
            <w:tcBorders>
              <w:top w:val="single" w:sz="4" w:space="0" w:color="auto"/>
              <w:left w:val="single" w:sz="4" w:space="0" w:color="auto"/>
              <w:bottom w:val="single" w:sz="4" w:space="0" w:color="auto"/>
              <w:right w:val="single" w:sz="4" w:space="0" w:color="auto"/>
            </w:tcBorders>
            <w:shd w:val="clear" w:color="auto" w:fill="auto"/>
            <w:vAlign w:val="center"/>
          </w:tcPr>
          <w:p w14:paraId="4F492F5E" w14:textId="4BF4B6DC" w:rsidR="0000397B" w:rsidRPr="00C85769" w:rsidRDefault="0000397B" w:rsidP="0085691D">
            <w:pPr>
              <w:jc w:val="center"/>
              <w:rPr>
                <w:color w:val="000000"/>
                <w:sz w:val="20"/>
                <w:szCs w:val="20"/>
                <w:lang w:eastAsia="en-GB"/>
              </w:rPr>
            </w:pPr>
            <w:r w:rsidRPr="00C85769">
              <w:rPr>
                <w:color w:val="000000"/>
                <w:sz w:val="20"/>
                <w:szCs w:val="20"/>
                <w:lang w:eastAsia="en-GB"/>
              </w:rPr>
              <w:t>Oct-20</w:t>
            </w:r>
          </w:p>
        </w:tc>
        <w:tc>
          <w:tcPr>
            <w:tcW w:w="152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5AB14BF" w14:textId="019C92C3" w:rsidR="0000397B" w:rsidRPr="00C85769" w:rsidRDefault="00F47FE9" w:rsidP="0085691D">
            <w:pPr>
              <w:jc w:val="center"/>
              <w:rPr>
                <w:color w:val="000000"/>
                <w:sz w:val="20"/>
                <w:szCs w:val="20"/>
                <w:lang w:eastAsia="en-GB"/>
              </w:rPr>
            </w:pPr>
            <w:r w:rsidRPr="00C85769">
              <w:rPr>
                <w:color w:val="000000"/>
                <w:sz w:val="20"/>
                <w:szCs w:val="20"/>
                <w:lang w:eastAsia="en-GB"/>
              </w:rPr>
              <w:t>2,088</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F47B6EE" w14:textId="3D5EF113" w:rsidR="0000397B" w:rsidRPr="00C85769" w:rsidRDefault="00DA3632" w:rsidP="0085691D">
            <w:pPr>
              <w:jc w:val="center"/>
              <w:rPr>
                <w:color w:val="000000"/>
                <w:sz w:val="20"/>
                <w:szCs w:val="20"/>
                <w:lang w:eastAsia="en-GB"/>
              </w:rPr>
            </w:pPr>
            <w:r w:rsidRPr="00C85769">
              <w:rPr>
                <w:color w:val="000000"/>
                <w:sz w:val="20"/>
                <w:szCs w:val="20"/>
                <w:lang w:eastAsia="en-GB"/>
              </w:rPr>
              <w:t>68.7%</w:t>
            </w:r>
          </w:p>
        </w:tc>
        <w:tc>
          <w:tcPr>
            <w:tcW w:w="8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D41B69C" w14:textId="1683072E" w:rsidR="0000397B" w:rsidRPr="00C85769" w:rsidRDefault="00AA35CC" w:rsidP="0085691D">
            <w:pPr>
              <w:jc w:val="center"/>
              <w:rPr>
                <w:color w:val="000000"/>
                <w:sz w:val="20"/>
                <w:szCs w:val="20"/>
                <w:lang w:eastAsia="en-GB"/>
              </w:rPr>
            </w:pPr>
            <w:r w:rsidRPr="00C85769">
              <w:rPr>
                <w:color w:val="000000"/>
                <w:sz w:val="20"/>
                <w:szCs w:val="20"/>
                <w:lang w:eastAsia="en-GB"/>
              </w:rPr>
              <w:t>2,618</w:t>
            </w:r>
          </w:p>
        </w:tc>
      </w:tr>
      <w:tr w:rsidR="00E4235E" w:rsidRPr="00C85769" w14:paraId="02183379" w14:textId="77777777" w:rsidTr="005570B1">
        <w:trPr>
          <w:trHeight w:val="315"/>
        </w:trPr>
        <w:tc>
          <w:tcPr>
            <w:tcW w:w="52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9B1F1A0" w14:textId="65282199" w:rsidR="00E4235E" w:rsidRPr="00C85769" w:rsidRDefault="00E4235E" w:rsidP="0085691D">
            <w:pPr>
              <w:jc w:val="center"/>
              <w:rPr>
                <w:color w:val="000000"/>
                <w:sz w:val="20"/>
                <w:szCs w:val="20"/>
                <w:lang w:eastAsia="en-GB"/>
              </w:rPr>
            </w:pPr>
            <w:r w:rsidRPr="00C85769">
              <w:rPr>
                <w:color w:val="000000"/>
                <w:sz w:val="20"/>
                <w:szCs w:val="20"/>
                <w:lang w:eastAsia="en-GB"/>
              </w:rPr>
              <w:t>May</w:t>
            </w:r>
            <w:r w:rsidR="00451629" w:rsidRPr="00C85769">
              <w:rPr>
                <w:color w:val="000000"/>
                <w:sz w:val="20"/>
                <w:szCs w:val="20"/>
                <w:lang w:eastAsia="en-GB"/>
              </w:rPr>
              <w:t xml:space="preserve"> 2021</w:t>
            </w:r>
          </w:p>
        </w:tc>
        <w:tc>
          <w:tcPr>
            <w:tcW w:w="91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A8F8D79" w14:textId="2F553B5C" w:rsidR="00E4235E" w:rsidRPr="00C85769" w:rsidRDefault="001C770B" w:rsidP="0085691D">
            <w:pPr>
              <w:jc w:val="center"/>
              <w:rPr>
                <w:color w:val="000000"/>
                <w:sz w:val="20"/>
                <w:szCs w:val="20"/>
                <w:lang w:eastAsia="en-GB"/>
              </w:rPr>
            </w:pPr>
            <w:r w:rsidRPr="00C85769">
              <w:rPr>
                <w:color w:val="000000"/>
                <w:sz w:val="20"/>
                <w:szCs w:val="20"/>
                <w:lang w:eastAsia="en-GB"/>
              </w:rPr>
              <w:t>3,085</w:t>
            </w:r>
          </w:p>
        </w:tc>
        <w:tc>
          <w:tcPr>
            <w:tcW w:w="513" w:type="pct"/>
            <w:tcBorders>
              <w:top w:val="single" w:sz="4" w:space="0" w:color="auto"/>
              <w:left w:val="single" w:sz="4" w:space="0" w:color="auto"/>
              <w:bottom w:val="single" w:sz="4" w:space="0" w:color="auto"/>
              <w:right w:val="single" w:sz="4" w:space="0" w:color="auto"/>
            </w:tcBorders>
            <w:shd w:val="clear" w:color="auto" w:fill="auto"/>
            <w:vAlign w:val="center"/>
          </w:tcPr>
          <w:p w14:paraId="303328A9" w14:textId="48CAF862" w:rsidR="00E4235E" w:rsidRPr="00C85769" w:rsidRDefault="00451629" w:rsidP="0085691D">
            <w:pPr>
              <w:jc w:val="center"/>
              <w:rPr>
                <w:color w:val="000000"/>
                <w:sz w:val="20"/>
                <w:szCs w:val="20"/>
                <w:lang w:eastAsia="en-GB"/>
              </w:rPr>
            </w:pPr>
            <w:r w:rsidRPr="00C85769">
              <w:rPr>
                <w:color w:val="000000"/>
                <w:sz w:val="20"/>
                <w:szCs w:val="20"/>
                <w:lang w:eastAsia="en-GB"/>
              </w:rPr>
              <w:t>Oct-21</w:t>
            </w:r>
          </w:p>
        </w:tc>
        <w:tc>
          <w:tcPr>
            <w:tcW w:w="152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5AB9CBC" w14:textId="2B321509" w:rsidR="00E4235E" w:rsidRPr="00C85769" w:rsidRDefault="00BF707E" w:rsidP="0085691D">
            <w:pPr>
              <w:jc w:val="center"/>
              <w:rPr>
                <w:color w:val="000000"/>
                <w:sz w:val="20"/>
                <w:szCs w:val="20"/>
                <w:lang w:eastAsia="en-GB"/>
              </w:rPr>
            </w:pPr>
            <w:r w:rsidRPr="00C85769">
              <w:rPr>
                <w:color w:val="000000"/>
                <w:sz w:val="20"/>
                <w:szCs w:val="20"/>
                <w:lang w:eastAsia="en-GB"/>
              </w:rPr>
              <w:t>2,056</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3A89AC3" w14:textId="5A753793" w:rsidR="00E4235E" w:rsidRPr="00C85769" w:rsidRDefault="00BF707E" w:rsidP="0085691D">
            <w:pPr>
              <w:jc w:val="center"/>
              <w:rPr>
                <w:color w:val="000000"/>
                <w:sz w:val="20"/>
                <w:szCs w:val="20"/>
                <w:lang w:eastAsia="en-GB"/>
              </w:rPr>
            </w:pPr>
            <w:r w:rsidRPr="00C85769">
              <w:rPr>
                <w:color w:val="000000"/>
                <w:sz w:val="20"/>
                <w:szCs w:val="20"/>
                <w:lang w:eastAsia="en-GB"/>
              </w:rPr>
              <w:t>66.6%</w:t>
            </w:r>
          </w:p>
        </w:tc>
        <w:tc>
          <w:tcPr>
            <w:tcW w:w="8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645E2BC" w14:textId="0AF7C94D" w:rsidR="00E4235E" w:rsidRPr="00C85769" w:rsidRDefault="00BF707E" w:rsidP="0085691D">
            <w:pPr>
              <w:jc w:val="center"/>
              <w:rPr>
                <w:color w:val="000000"/>
                <w:sz w:val="20"/>
                <w:szCs w:val="20"/>
                <w:lang w:eastAsia="en-GB"/>
              </w:rPr>
            </w:pPr>
            <w:r w:rsidRPr="00C85769">
              <w:rPr>
                <w:color w:val="000000"/>
                <w:sz w:val="20"/>
                <w:szCs w:val="20"/>
                <w:lang w:eastAsia="en-GB"/>
              </w:rPr>
              <w:t>2,627</w:t>
            </w:r>
          </w:p>
        </w:tc>
      </w:tr>
      <w:tr w:rsidR="00567426" w:rsidRPr="00C85769" w14:paraId="73003CD3" w14:textId="77777777" w:rsidTr="005570B1">
        <w:trPr>
          <w:trHeight w:val="315"/>
        </w:trPr>
        <w:tc>
          <w:tcPr>
            <w:tcW w:w="52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6BF61E5" w14:textId="6A7705C9" w:rsidR="00567426" w:rsidRPr="00C85769" w:rsidRDefault="00567426" w:rsidP="0085691D">
            <w:pPr>
              <w:jc w:val="center"/>
              <w:rPr>
                <w:color w:val="000000"/>
                <w:sz w:val="20"/>
                <w:szCs w:val="20"/>
                <w:lang w:eastAsia="en-GB"/>
              </w:rPr>
            </w:pPr>
            <w:r>
              <w:rPr>
                <w:color w:val="000000"/>
                <w:sz w:val="20"/>
                <w:szCs w:val="20"/>
                <w:lang w:eastAsia="en-GB"/>
              </w:rPr>
              <w:t>May 2022</w:t>
            </w:r>
          </w:p>
        </w:tc>
        <w:tc>
          <w:tcPr>
            <w:tcW w:w="91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71B47AA" w14:textId="0A75B652" w:rsidR="00567426" w:rsidRPr="00C85769" w:rsidRDefault="00567426" w:rsidP="0085691D">
            <w:pPr>
              <w:jc w:val="center"/>
              <w:rPr>
                <w:color w:val="000000"/>
                <w:sz w:val="20"/>
                <w:szCs w:val="20"/>
                <w:lang w:eastAsia="en-GB"/>
              </w:rPr>
            </w:pPr>
            <w:r>
              <w:rPr>
                <w:color w:val="000000"/>
                <w:sz w:val="20"/>
                <w:szCs w:val="20"/>
                <w:lang w:eastAsia="en-GB"/>
              </w:rPr>
              <w:t>3,078</w:t>
            </w:r>
          </w:p>
        </w:tc>
        <w:tc>
          <w:tcPr>
            <w:tcW w:w="513" w:type="pct"/>
            <w:tcBorders>
              <w:top w:val="single" w:sz="4" w:space="0" w:color="auto"/>
              <w:left w:val="single" w:sz="4" w:space="0" w:color="auto"/>
              <w:bottom w:val="single" w:sz="4" w:space="0" w:color="auto"/>
              <w:right w:val="single" w:sz="4" w:space="0" w:color="auto"/>
            </w:tcBorders>
            <w:shd w:val="clear" w:color="auto" w:fill="auto"/>
            <w:vAlign w:val="center"/>
          </w:tcPr>
          <w:p w14:paraId="0C990473" w14:textId="1F283F97" w:rsidR="00567426" w:rsidRPr="00C85769" w:rsidRDefault="00567426" w:rsidP="0085691D">
            <w:pPr>
              <w:jc w:val="center"/>
              <w:rPr>
                <w:color w:val="000000"/>
                <w:sz w:val="20"/>
                <w:szCs w:val="20"/>
                <w:lang w:eastAsia="en-GB"/>
              </w:rPr>
            </w:pPr>
            <w:r>
              <w:rPr>
                <w:color w:val="000000"/>
                <w:sz w:val="20"/>
                <w:szCs w:val="20"/>
                <w:lang w:eastAsia="en-GB"/>
              </w:rPr>
              <w:t>Oct-22</w:t>
            </w:r>
          </w:p>
        </w:tc>
        <w:tc>
          <w:tcPr>
            <w:tcW w:w="152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54C7263" w14:textId="189DC911" w:rsidR="00567426" w:rsidRPr="00C85769" w:rsidRDefault="00567426" w:rsidP="0085691D">
            <w:pPr>
              <w:jc w:val="center"/>
              <w:rPr>
                <w:color w:val="000000"/>
                <w:sz w:val="20"/>
                <w:szCs w:val="20"/>
                <w:lang w:eastAsia="en-GB"/>
              </w:rPr>
            </w:pPr>
            <w:r>
              <w:rPr>
                <w:color w:val="000000"/>
                <w:sz w:val="20"/>
                <w:szCs w:val="20"/>
                <w:lang w:eastAsia="en-GB"/>
              </w:rPr>
              <w:t>2,137</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0CD2C29" w14:textId="55C26CDA" w:rsidR="00567426" w:rsidRPr="00C85769" w:rsidRDefault="00567426" w:rsidP="0085691D">
            <w:pPr>
              <w:jc w:val="center"/>
              <w:rPr>
                <w:color w:val="000000"/>
                <w:sz w:val="20"/>
                <w:szCs w:val="20"/>
                <w:lang w:eastAsia="en-GB"/>
              </w:rPr>
            </w:pPr>
            <w:r>
              <w:rPr>
                <w:color w:val="000000"/>
                <w:sz w:val="20"/>
                <w:szCs w:val="20"/>
                <w:lang w:eastAsia="en-GB"/>
              </w:rPr>
              <w:t>69.4%</w:t>
            </w:r>
          </w:p>
        </w:tc>
        <w:tc>
          <w:tcPr>
            <w:tcW w:w="8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A2405D3" w14:textId="5DAB91FC" w:rsidR="00567426" w:rsidRPr="00C85769" w:rsidRDefault="00567426" w:rsidP="0085691D">
            <w:pPr>
              <w:jc w:val="center"/>
              <w:rPr>
                <w:color w:val="000000"/>
                <w:sz w:val="20"/>
                <w:szCs w:val="20"/>
                <w:lang w:eastAsia="en-GB"/>
              </w:rPr>
            </w:pPr>
            <w:r>
              <w:rPr>
                <w:color w:val="000000"/>
                <w:sz w:val="20"/>
                <w:szCs w:val="20"/>
                <w:lang w:eastAsia="en-GB"/>
              </w:rPr>
              <w:t>2,651</w:t>
            </w:r>
          </w:p>
        </w:tc>
      </w:tr>
    </w:tbl>
    <w:p w14:paraId="5634AA59" w14:textId="77777777" w:rsidR="00A16979" w:rsidRPr="00C85769" w:rsidRDefault="00A16979" w:rsidP="00A16979">
      <w:pPr>
        <w:spacing w:after="20" w:line="300" w:lineRule="exact"/>
        <w:jc w:val="both"/>
        <w:rPr>
          <w:bCs/>
          <w:sz w:val="20"/>
          <w:szCs w:val="20"/>
        </w:rPr>
      </w:pPr>
      <w:r w:rsidRPr="00C85769">
        <w:rPr>
          <w:bCs/>
          <w:sz w:val="20"/>
          <w:szCs w:val="20"/>
        </w:rPr>
        <w:t xml:space="preserve">*The numbers on roll do not include special school </w:t>
      </w:r>
      <w:proofErr w:type="gramStart"/>
      <w:r w:rsidRPr="00C85769">
        <w:rPr>
          <w:bCs/>
          <w:sz w:val="20"/>
          <w:szCs w:val="20"/>
        </w:rPr>
        <w:t>pupils;</w:t>
      </w:r>
      <w:proofErr w:type="gramEnd"/>
    </w:p>
    <w:p w14:paraId="3D7806A1" w14:textId="4043BB18" w:rsidR="00A16979" w:rsidRPr="00C85769" w:rsidRDefault="00A16979" w:rsidP="00207FD7">
      <w:pPr>
        <w:spacing w:line="300" w:lineRule="exact"/>
        <w:jc w:val="both"/>
        <w:rPr>
          <w:bCs/>
          <w:sz w:val="20"/>
          <w:szCs w:val="20"/>
        </w:rPr>
      </w:pPr>
      <w:r w:rsidRPr="00C85769">
        <w:rPr>
          <w:bCs/>
          <w:sz w:val="20"/>
          <w:szCs w:val="20"/>
        </w:rPr>
        <w:t>**The October 2011 data was not available for Academies, so the January 2012 school census was used instead.</w:t>
      </w:r>
    </w:p>
    <w:p w14:paraId="016D5EAD" w14:textId="1D5B09B1" w:rsidR="007010CB" w:rsidRPr="00C85769" w:rsidRDefault="007010CB" w:rsidP="00207FD7">
      <w:pPr>
        <w:spacing w:line="300" w:lineRule="exact"/>
        <w:jc w:val="both"/>
        <w:rPr>
          <w:bCs/>
          <w:sz w:val="20"/>
          <w:szCs w:val="20"/>
        </w:rPr>
      </w:pPr>
      <w:r w:rsidRPr="00C85769">
        <w:rPr>
          <w:bCs/>
          <w:sz w:val="20"/>
          <w:szCs w:val="20"/>
        </w:rPr>
        <w:t>***</w:t>
      </w:r>
      <w:r w:rsidR="006E12B8" w:rsidRPr="00C85769">
        <w:rPr>
          <w:bCs/>
          <w:sz w:val="20"/>
          <w:szCs w:val="20"/>
        </w:rPr>
        <w:t xml:space="preserve">The May 2020 school census </w:t>
      </w:r>
      <w:r w:rsidR="00E4235E" w:rsidRPr="00C85769">
        <w:rPr>
          <w:bCs/>
          <w:sz w:val="20"/>
          <w:szCs w:val="20"/>
        </w:rPr>
        <w:t>did not occur</w:t>
      </w:r>
      <w:r w:rsidR="006E12B8" w:rsidRPr="00C85769">
        <w:rPr>
          <w:bCs/>
          <w:sz w:val="20"/>
          <w:szCs w:val="20"/>
        </w:rPr>
        <w:t xml:space="preserve"> due to the Covid-19 pandemic.</w:t>
      </w:r>
    </w:p>
    <w:p w14:paraId="40A3105A" w14:textId="77777777" w:rsidR="00A16979" w:rsidRPr="00C85769" w:rsidRDefault="00A16979" w:rsidP="00A16979">
      <w:pPr>
        <w:rPr>
          <w:sz w:val="16"/>
          <w:szCs w:val="16"/>
        </w:rPr>
      </w:pPr>
    </w:p>
    <w:p w14:paraId="157BEBF0" w14:textId="77777777" w:rsidR="007D559F" w:rsidRPr="00C85769" w:rsidRDefault="007D559F" w:rsidP="007D559F">
      <w:pPr>
        <w:rPr>
          <w:b/>
        </w:rPr>
      </w:pPr>
      <w:r w:rsidRPr="00C85769">
        <w:rPr>
          <w:b/>
        </w:rPr>
        <w:t>Retention rate of Harrow secondary schools</w:t>
      </w:r>
    </w:p>
    <w:p w14:paraId="4E17114E" w14:textId="77777777" w:rsidR="007D559F" w:rsidRPr="00C85769" w:rsidRDefault="007D559F" w:rsidP="007D559F">
      <w:pPr>
        <w:rPr>
          <w:b/>
        </w:rPr>
      </w:pPr>
    </w:p>
    <w:p w14:paraId="65FFC33D" w14:textId="77777777" w:rsidR="007D559F" w:rsidRPr="00C85769" w:rsidRDefault="007D559F" w:rsidP="007D559F">
      <w:r w:rsidRPr="00C85769">
        <w:t xml:space="preserve">The number of pupils in Year 7 in Harrow’s secondary schools in October 2022 increased slightly to 2,651 from 2,627 in October 2021. The retention rate is calculated as a percentage of the number of pupils on roll in Year 7 in the October census to that of the number of pupils on roll in Year 6 in the May census.  This retention rate has remained at or over 85% over the last 7 years. In October 2022 there were 2,651 pupils on roll which is 86.1% of the number of pupils on roll in May 2022 in Year 6.  </w:t>
      </w:r>
    </w:p>
    <w:p w14:paraId="5634D132" w14:textId="77777777" w:rsidR="00A16979" w:rsidRPr="00C85769" w:rsidRDefault="00A16979" w:rsidP="00A16979">
      <w:pPr>
        <w:rPr>
          <w:sz w:val="16"/>
          <w:szCs w:val="16"/>
        </w:rPr>
      </w:pPr>
    </w:p>
    <w:p w14:paraId="434A58B6" w14:textId="2BABE92B" w:rsidR="00A16979" w:rsidRPr="00C85769" w:rsidRDefault="00967E8D" w:rsidP="00A16979">
      <w:pPr>
        <w:rPr>
          <w:sz w:val="20"/>
          <w:szCs w:val="20"/>
        </w:rPr>
      </w:pPr>
      <w:r w:rsidRPr="00C85769">
        <w:rPr>
          <w:sz w:val="20"/>
          <w:szCs w:val="20"/>
        </w:rPr>
        <w:t>Table 1</w:t>
      </w:r>
      <w:r w:rsidR="00C40020" w:rsidRPr="00C85769">
        <w:rPr>
          <w:sz w:val="20"/>
          <w:szCs w:val="20"/>
        </w:rPr>
        <w:t>4</w:t>
      </w:r>
      <w:r w:rsidR="00A16979" w:rsidRPr="00C85769">
        <w:rPr>
          <w:sz w:val="20"/>
          <w:szCs w:val="20"/>
        </w:rPr>
        <w:t>: Year 7 Retention Rates</w:t>
      </w:r>
    </w:p>
    <w:tbl>
      <w:tblPr>
        <w:tblW w:w="40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0"/>
        <w:gridCol w:w="1875"/>
        <w:gridCol w:w="2343"/>
        <w:gridCol w:w="1181"/>
        <w:gridCol w:w="1521"/>
      </w:tblGrid>
      <w:tr w:rsidR="002B13AF" w:rsidRPr="00C85769" w14:paraId="781C7145" w14:textId="77777777" w:rsidTr="001C770B">
        <w:trPr>
          <w:trHeight w:val="493"/>
        </w:trPr>
        <w:tc>
          <w:tcPr>
            <w:tcW w:w="841" w:type="pct"/>
            <w:shd w:val="clear" w:color="auto" w:fill="auto"/>
            <w:vAlign w:val="center"/>
            <w:hideMark/>
          </w:tcPr>
          <w:p w14:paraId="650D8CA0" w14:textId="77777777" w:rsidR="002B13AF" w:rsidRPr="00C85769" w:rsidRDefault="002B13AF" w:rsidP="002B13AF">
            <w:pPr>
              <w:jc w:val="center"/>
              <w:rPr>
                <w:b/>
                <w:bCs/>
                <w:color w:val="000000"/>
                <w:sz w:val="20"/>
                <w:szCs w:val="20"/>
                <w:lang w:eastAsia="en-GB"/>
              </w:rPr>
            </w:pPr>
            <w:r w:rsidRPr="00C85769">
              <w:rPr>
                <w:b/>
                <w:bCs/>
                <w:color w:val="000000"/>
                <w:sz w:val="20"/>
                <w:szCs w:val="20"/>
                <w:lang w:eastAsia="en-GB"/>
              </w:rPr>
              <w:t>May School Census*</w:t>
            </w:r>
          </w:p>
        </w:tc>
        <w:tc>
          <w:tcPr>
            <w:tcW w:w="1126" w:type="pct"/>
            <w:shd w:val="clear" w:color="auto" w:fill="auto"/>
            <w:vAlign w:val="center"/>
            <w:hideMark/>
          </w:tcPr>
          <w:p w14:paraId="53D8BA4E" w14:textId="301739EB" w:rsidR="002B13AF" w:rsidRPr="00C85769" w:rsidRDefault="002B13AF" w:rsidP="002B13AF">
            <w:pPr>
              <w:jc w:val="center"/>
              <w:rPr>
                <w:b/>
                <w:bCs/>
                <w:color w:val="000000"/>
                <w:sz w:val="20"/>
                <w:szCs w:val="20"/>
                <w:lang w:eastAsia="en-GB"/>
              </w:rPr>
            </w:pPr>
            <w:r w:rsidRPr="00C85769">
              <w:rPr>
                <w:b/>
                <w:bCs/>
                <w:color w:val="000000"/>
                <w:sz w:val="20"/>
                <w:szCs w:val="20"/>
                <w:lang w:eastAsia="en-GB"/>
              </w:rPr>
              <w:t>Y</w:t>
            </w:r>
            <w:r w:rsidR="001C770B" w:rsidRPr="00C85769">
              <w:rPr>
                <w:b/>
                <w:bCs/>
                <w:color w:val="000000"/>
                <w:sz w:val="20"/>
                <w:szCs w:val="20"/>
                <w:lang w:eastAsia="en-GB"/>
              </w:rPr>
              <w:t>ear</w:t>
            </w:r>
            <w:r w:rsidRPr="00C85769">
              <w:rPr>
                <w:b/>
                <w:bCs/>
                <w:color w:val="000000"/>
                <w:sz w:val="20"/>
                <w:szCs w:val="20"/>
                <w:lang w:eastAsia="en-GB"/>
              </w:rPr>
              <w:t xml:space="preserve"> 6</w:t>
            </w:r>
          </w:p>
        </w:tc>
        <w:tc>
          <w:tcPr>
            <w:tcW w:w="1408" w:type="pct"/>
            <w:shd w:val="clear" w:color="auto" w:fill="auto"/>
            <w:vAlign w:val="center"/>
            <w:hideMark/>
          </w:tcPr>
          <w:p w14:paraId="3C70168E" w14:textId="77777777" w:rsidR="002B13AF" w:rsidRPr="00C85769" w:rsidRDefault="002B13AF" w:rsidP="002B13AF">
            <w:pPr>
              <w:jc w:val="center"/>
              <w:rPr>
                <w:b/>
                <w:bCs/>
                <w:color w:val="000000"/>
                <w:sz w:val="20"/>
                <w:szCs w:val="20"/>
                <w:lang w:eastAsia="en-GB"/>
              </w:rPr>
            </w:pPr>
            <w:r w:rsidRPr="00C85769">
              <w:rPr>
                <w:b/>
                <w:bCs/>
                <w:color w:val="000000"/>
                <w:sz w:val="20"/>
                <w:szCs w:val="20"/>
                <w:lang w:eastAsia="en-GB"/>
              </w:rPr>
              <w:t>October School Census*</w:t>
            </w:r>
          </w:p>
        </w:tc>
        <w:tc>
          <w:tcPr>
            <w:tcW w:w="710" w:type="pct"/>
            <w:shd w:val="clear" w:color="auto" w:fill="auto"/>
            <w:vAlign w:val="center"/>
            <w:hideMark/>
          </w:tcPr>
          <w:p w14:paraId="331E25B8" w14:textId="229C777B" w:rsidR="002B13AF" w:rsidRPr="00C85769" w:rsidRDefault="002B13AF" w:rsidP="002B13AF">
            <w:pPr>
              <w:jc w:val="center"/>
              <w:rPr>
                <w:b/>
                <w:bCs/>
                <w:color w:val="000000"/>
                <w:sz w:val="20"/>
                <w:szCs w:val="20"/>
                <w:lang w:eastAsia="en-GB"/>
              </w:rPr>
            </w:pPr>
            <w:r w:rsidRPr="00C85769">
              <w:rPr>
                <w:b/>
                <w:bCs/>
                <w:color w:val="000000"/>
                <w:sz w:val="20"/>
                <w:szCs w:val="20"/>
                <w:lang w:eastAsia="en-GB"/>
              </w:rPr>
              <w:t>Y</w:t>
            </w:r>
            <w:r w:rsidR="001C770B" w:rsidRPr="00C85769">
              <w:rPr>
                <w:b/>
                <w:bCs/>
                <w:color w:val="000000"/>
                <w:sz w:val="20"/>
                <w:szCs w:val="20"/>
                <w:lang w:eastAsia="en-GB"/>
              </w:rPr>
              <w:t>ear</w:t>
            </w:r>
            <w:r w:rsidRPr="00C85769">
              <w:rPr>
                <w:b/>
                <w:bCs/>
                <w:color w:val="000000"/>
                <w:sz w:val="20"/>
                <w:szCs w:val="20"/>
                <w:lang w:eastAsia="en-GB"/>
              </w:rPr>
              <w:t xml:space="preserve"> 7</w:t>
            </w:r>
          </w:p>
        </w:tc>
        <w:tc>
          <w:tcPr>
            <w:tcW w:w="914" w:type="pct"/>
            <w:shd w:val="clear" w:color="auto" w:fill="auto"/>
            <w:vAlign w:val="center"/>
            <w:hideMark/>
          </w:tcPr>
          <w:p w14:paraId="2699DF68" w14:textId="77777777" w:rsidR="002B13AF" w:rsidRPr="00C85769" w:rsidRDefault="002B13AF" w:rsidP="002B13AF">
            <w:pPr>
              <w:jc w:val="center"/>
              <w:rPr>
                <w:b/>
                <w:bCs/>
                <w:color w:val="000000"/>
                <w:sz w:val="20"/>
                <w:szCs w:val="20"/>
                <w:lang w:eastAsia="en-GB"/>
              </w:rPr>
            </w:pPr>
            <w:r w:rsidRPr="00C85769">
              <w:rPr>
                <w:b/>
                <w:bCs/>
                <w:color w:val="000000"/>
                <w:sz w:val="20"/>
                <w:szCs w:val="20"/>
                <w:lang w:eastAsia="en-GB"/>
              </w:rPr>
              <w:t>Yr 7 as % of previous Yr 6</w:t>
            </w:r>
          </w:p>
        </w:tc>
      </w:tr>
      <w:tr w:rsidR="002B13AF" w:rsidRPr="00C85769" w14:paraId="202D3733" w14:textId="77777777" w:rsidTr="001C770B">
        <w:trPr>
          <w:trHeight w:val="300"/>
        </w:trPr>
        <w:tc>
          <w:tcPr>
            <w:tcW w:w="841" w:type="pct"/>
            <w:shd w:val="clear" w:color="auto" w:fill="auto"/>
            <w:noWrap/>
            <w:vAlign w:val="center"/>
            <w:hideMark/>
          </w:tcPr>
          <w:p w14:paraId="763251C2" w14:textId="77777777" w:rsidR="002B13AF" w:rsidRPr="00C85769" w:rsidRDefault="002B13AF" w:rsidP="002B13AF">
            <w:pPr>
              <w:jc w:val="center"/>
              <w:rPr>
                <w:color w:val="000000"/>
                <w:sz w:val="20"/>
                <w:szCs w:val="20"/>
                <w:lang w:eastAsia="en-GB"/>
              </w:rPr>
            </w:pPr>
            <w:r w:rsidRPr="00C85769">
              <w:rPr>
                <w:color w:val="000000"/>
                <w:sz w:val="20"/>
                <w:szCs w:val="20"/>
                <w:lang w:eastAsia="en-GB"/>
              </w:rPr>
              <w:t>May-10</w:t>
            </w:r>
          </w:p>
        </w:tc>
        <w:tc>
          <w:tcPr>
            <w:tcW w:w="1126" w:type="pct"/>
            <w:shd w:val="clear" w:color="auto" w:fill="auto"/>
            <w:noWrap/>
            <w:vAlign w:val="center"/>
            <w:hideMark/>
          </w:tcPr>
          <w:p w14:paraId="03777CB0" w14:textId="77777777" w:rsidR="002B13AF" w:rsidRPr="00C85769" w:rsidRDefault="002B13AF" w:rsidP="002B13AF">
            <w:pPr>
              <w:jc w:val="center"/>
              <w:rPr>
                <w:color w:val="000000"/>
                <w:sz w:val="20"/>
                <w:szCs w:val="20"/>
                <w:lang w:eastAsia="en-GB"/>
              </w:rPr>
            </w:pPr>
            <w:r w:rsidRPr="00C85769">
              <w:rPr>
                <w:color w:val="000000"/>
                <w:sz w:val="20"/>
                <w:szCs w:val="20"/>
                <w:lang w:eastAsia="en-GB"/>
              </w:rPr>
              <w:t>2,394</w:t>
            </w:r>
          </w:p>
        </w:tc>
        <w:tc>
          <w:tcPr>
            <w:tcW w:w="1408" w:type="pct"/>
            <w:shd w:val="clear" w:color="auto" w:fill="auto"/>
            <w:noWrap/>
            <w:vAlign w:val="center"/>
            <w:hideMark/>
          </w:tcPr>
          <w:p w14:paraId="19F70D22" w14:textId="77777777" w:rsidR="002B13AF" w:rsidRPr="00C85769" w:rsidRDefault="002B13AF" w:rsidP="002B13AF">
            <w:pPr>
              <w:jc w:val="center"/>
              <w:rPr>
                <w:color w:val="000000"/>
                <w:sz w:val="20"/>
                <w:szCs w:val="20"/>
                <w:lang w:eastAsia="en-GB"/>
              </w:rPr>
            </w:pPr>
            <w:r w:rsidRPr="00C85769">
              <w:rPr>
                <w:color w:val="000000"/>
                <w:sz w:val="20"/>
                <w:szCs w:val="20"/>
                <w:lang w:eastAsia="en-GB"/>
              </w:rPr>
              <w:t>Oct-10</w:t>
            </w:r>
          </w:p>
        </w:tc>
        <w:tc>
          <w:tcPr>
            <w:tcW w:w="710" w:type="pct"/>
            <w:shd w:val="clear" w:color="auto" w:fill="auto"/>
            <w:noWrap/>
            <w:vAlign w:val="center"/>
            <w:hideMark/>
          </w:tcPr>
          <w:p w14:paraId="35BF96BC" w14:textId="77777777" w:rsidR="002B13AF" w:rsidRPr="00C85769" w:rsidRDefault="002B13AF" w:rsidP="002B13AF">
            <w:pPr>
              <w:jc w:val="center"/>
              <w:rPr>
                <w:color w:val="000000"/>
                <w:sz w:val="20"/>
                <w:szCs w:val="20"/>
                <w:lang w:eastAsia="en-GB"/>
              </w:rPr>
            </w:pPr>
            <w:r w:rsidRPr="00C85769">
              <w:rPr>
                <w:color w:val="000000"/>
                <w:sz w:val="20"/>
                <w:szCs w:val="20"/>
                <w:lang w:eastAsia="en-GB"/>
              </w:rPr>
              <w:t>1,972</w:t>
            </w:r>
          </w:p>
        </w:tc>
        <w:tc>
          <w:tcPr>
            <w:tcW w:w="914" w:type="pct"/>
            <w:shd w:val="clear" w:color="auto" w:fill="auto"/>
            <w:noWrap/>
            <w:vAlign w:val="center"/>
            <w:hideMark/>
          </w:tcPr>
          <w:p w14:paraId="12068BC8" w14:textId="0D88D796" w:rsidR="002B13AF" w:rsidRPr="00C85769" w:rsidRDefault="002B13AF" w:rsidP="002B13AF">
            <w:pPr>
              <w:jc w:val="center"/>
              <w:rPr>
                <w:color w:val="000000"/>
                <w:sz w:val="20"/>
                <w:szCs w:val="20"/>
                <w:lang w:eastAsia="en-GB"/>
              </w:rPr>
            </w:pPr>
            <w:r w:rsidRPr="00C85769">
              <w:rPr>
                <w:color w:val="000000"/>
                <w:sz w:val="20"/>
                <w:szCs w:val="20"/>
                <w:lang w:eastAsia="en-GB"/>
              </w:rPr>
              <w:t>82</w:t>
            </w:r>
            <w:r w:rsidR="00474A5B" w:rsidRPr="00C85769">
              <w:rPr>
                <w:color w:val="000000"/>
                <w:sz w:val="20"/>
                <w:szCs w:val="20"/>
                <w:lang w:eastAsia="en-GB"/>
              </w:rPr>
              <w:t>.4</w:t>
            </w:r>
            <w:r w:rsidRPr="00C85769">
              <w:rPr>
                <w:color w:val="000000"/>
                <w:sz w:val="20"/>
                <w:szCs w:val="20"/>
                <w:lang w:eastAsia="en-GB"/>
              </w:rPr>
              <w:t>%</w:t>
            </w:r>
          </w:p>
        </w:tc>
      </w:tr>
      <w:tr w:rsidR="002B13AF" w:rsidRPr="00C85769" w14:paraId="2A7293BD" w14:textId="77777777" w:rsidTr="001C770B">
        <w:trPr>
          <w:trHeight w:val="300"/>
        </w:trPr>
        <w:tc>
          <w:tcPr>
            <w:tcW w:w="841" w:type="pct"/>
            <w:shd w:val="clear" w:color="auto" w:fill="auto"/>
            <w:noWrap/>
            <w:vAlign w:val="center"/>
            <w:hideMark/>
          </w:tcPr>
          <w:p w14:paraId="01AB5435" w14:textId="77777777" w:rsidR="002B13AF" w:rsidRPr="00C85769" w:rsidRDefault="002B13AF" w:rsidP="002B13AF">
            <w:pPr>
              <w:jc w:val="center"/>
              <w:rPr>
                <w:color w:val="000000"/>
                <w:sz w:val="20"/>
                <w:szCs w:val="20"/>
                <w:lang w:eastAsia="en-GB"/>
              </w:rPr>
            </w:pPr>
            <w:r w:rsidRPr="00C85769">
              <w:rPr>
                <w:color w:val="000000"/>
                <w:sz w:val="20"/>
                <w:szCs w:val="20"/>
                <w:lang w:eastAsia="en-GB"/>
              </w:rPr>
              <w:t>May-11</w:t>
            </w:r>
          </w:p>
        </w:tc>
        <w:tc>
          <w:tcPr>
            <w:tcW w:w="1126" w:type="pct"/>
            <w:shd w:val="clear" w:color="auto" w:fill="auto"/>
            <w:noWrap/>
            <w:vAlign w:val="center"/>
            <w:hideMark/>
          </w:tcPr>
          <w:p w14:paraId="24CA1CF8" w14:textId="77777777" w:rsidR="002B13AF" w:rsidRPr="00C85769" w:rsidRDefault="002B13AF" w:rsidP="002B13AF">
            <w:pPr>
              <w:jc w:val="center"/>
              <w:rPr>
                <w:color w:val="000000"/>
                <w:sz w:val="20"/>
                <w:szCs w:val="20"/>
                <w:lang w:eastAsia="en-GB"/>
              </w:rPr>
            </w:pPr>
            <w:r w:rsidRPr="00C85769">
              <w:rPr>
                <w:color w:val="000000"/>
                <w:sz w:val="20"/>
                <w:szCs w:val="20"/>
                <w:lang w:eastAsia="en-GB"/>
              </w:rPr>
              <w:t>2,408</w:t>
            </w:r>
          </w:p>
        </w:tc>
        <w:tc>
          <w:tcPr>
            <w:tcW w:w="1408" w:type="pct"/>
            <w:shd w:val="clear" w:color="auto" w:fill="auto"/>
            <w:noWrap/>
            <w:vAlign w:val="center"/>
            <w:hideMark/>
          </w:tcPr>
          <w:p w14:paraId="78C613E9" w14:textId="7D18A896" w:rsidR="002B13AF" w:rsidRPr="00C85769" w:rsidRDefault="002B13AF" w:rsidP="002B13AF">
            <w:pPr>
              <w:jc w:val="center"/>
              <w:rPr>
                <w:color w:val="000000"/>
                <w:sz w:val="20"/>
                <w:szCs w:val="20"/>
                <w:lang w:eastAsia="en-GB"/>
              </w:rPr>
            </w:pPr>
            <w:r w:rsidRPr="00C85769">
              <w:rPr>
                <w:color w:val="000000"/>
                <w:sz w:val="20"/>
                <w:szCs w:val="20"/>
                <w:lang w:eastAsia="en-GB"/>
              </w:rPr>
              <w:t>Jan-12**</w:t>
            </w:r>
          </w:p>
        </w:tc>
        <w:tc>
          <w:tcPr>
            <w:tcW w:w="710" w:type="pct"/>
            <w:shd w:val="clear" w:color="auto" w:fill="auto"/>
            <w:noWrap/>
            <w:vAlign w:val="center"/>
            <w:hideMark/>
          </w:tcPr>
          <w:p w14:paraId="61F6BCDD" w14:textId="77777777" w:rsidR="002B13AF" w:rsidRPr="00C85769" w:rsidRDefault="002B13AF" w:rsidP="002B13AF">
            <w:pPr>
              <w:jc w:val="center"/>
              <w:rPr>
                <w:color w:val="000000"/>
                <w:sz w:val="20"/>
                <w:szCs w:val="20"/>
                <w:lang w:eastAsia="en-GB"/>
              </w:rPr>
            </w:pPr>
            <w:r w:rsidRPr="00C85769">
              <w:rPr>
                <w:color w:val="000000"/>
                <w:sz w:val="20"/>
                <w:szCs w:val="20"/>
                <w:lang w:eastAsia="en-GB"/>
              </w:rPr>
              <w:t>2,088</w:t>
            </w:r>
          </w:p>
        </w:tc>
        <w:tc>
          <w:tcPr>
            <w:tcW w:w="914" w:type="pct"/>
            <w:shd w:val="clear" w:color="auto" w:fill="auto"/>
            <w:noWrap/>
            <w:vAlign w:val="center"/>
            <w:hideMark/>
          </w:tcPr>
          <w:p w14:paraId="51B867CA" w14:textId="49557FE9" w:rsidR="002B13AF" w:rsidRPr="00C85769" w:rsidRDefault="002B13AF" w:rsidP="002B13AF">
            <w:pPr>
              <w:jc w:val="center"/>
              <w:rPr>
                <w:color w:val="000000"/>
                <w:sz w:val="20"/>
                <w:szCs w:val="20"/>
                <w:lang w:eastAsia="en-GB"/>
              </w:rPr>
            </w:pPr>
            <w:r w:rsidRPr="00C85769">
              <w:rPr>
                <w:color w:val="000000"/>
                <w:sz w:val="20"/>
                <w:szCs w:val="20"/>
                <w:lang w:eastAsia="en-GB"/>
              </w:rPr>
              <w:t>8</w:t>
            </w:r>
            <w:r w:rsidR="00474A5B" w:rsidRPr="00C85769">
              <w:rPr>
                <w:color w:val="000000"/>
                <w:sz w:val="20"/>
                <w:szCs w:val="20"/>
                <w:lang w:eastAsia="en-GB"/>
              </w:rPr>
              <w:t>6.</w:t>
            </w:r>
            <w:r w:rsidRPr="00C85769">
              <w:rPr>
                <w:color w:val="000000"/>
                <w:sz w:val="20"/>
                <w:szCs w:val="20"/>
                <w:lang w:eastAsia="en-GB"/>
              </w:rPr>
              <w:t>7%</w:t>
            </w:r>
          </w:p>
        </w:tc>
      </w:tr>
      <w:tr w:rsidR="002B13AF" w:rsidRPr="00C85769" w14:paraId="2C392B6E" w14:textId="77777777" w:rsidTr="001C770B">
        <w:trPr>
          <w:trHeight w:val="300"/>
        </w:trPr>
        <w:tc>
          <w:tcPr>
            <w:tcW w:w="841" w:type="pct"/>
            <w:shd w:val="clear" w:color="auto" w:fill="auto"/>
            <w:noWrap/>
            <w:vAlign w:val="center"/>
            <w:hideMark/>
          </w:tcPr>
          <w:p w14:paraId="089A8DF5" w14:textId="77777777" w:rsidR="002B13AF" w:rsidRPr="00C85769" w:rsidRDefault="002B13AF" w:rsidP="002B13AF">
            <w:pPr>
              <w:jc w:val="center"/>
              <w:rPr>
                <w:color w:val="000000"/>
                <w:sz w:val="20"/>
                <w:szCs w:val="20"/>
                <w:lang w:eastAsia="en-GB"/>
              </w:rPr>
            </w:pPr>
            <w:r w:rsidRPr="00C85769">
              <w:rPr>
                <w:color w:val="000000"/>
                <w:sz w:val="20"/>
                <w:szCs w:val="20"/>
                <w:lang w:eastAsia="en-GB"/>
              </w:rPr>
              <w:t>May-12</w:t>
            </w:r>
          </w:p>
        </w:tc>
        <w:tc>
          <w:tcPr>
            <w:tcW w:w="1126" w:type="pct"/>
            <w:shd w:val="clear" w:color="auto" w:fill="auto"/>
            <w:noWrap/>
            <w:vAlign w:val="center"/>
            <w:hideMark/>
          </w:tcPr>
          <w:p w14:paraId="2C44B0BE" w14:textId="77777777" w:rsidR="002B13AF" w:rsidRPr="00C85769" w:rsidRDefault="002B13AF" w:rsidP="002B13AF">
            <w:pPr>
              <w:jc w:val="center"/>
              <w:rPr>
                <w:color w:val="000000"/>
                <w:sz w:val="20"/>
                <w:szCs w:val="20"/>
                <w:lang w:eastAsia="en-GB"/>
              </w:rPr>
            </w:pPr>
            <w:r w:rsidRPr="00C85769">
              <w:rPr>
                <w:color w:val="000000"/>
                <w:sz w:val="20"/>
                <w:szCs w:val="20"/>
                <w:lang w:eastAsia="en-GB"/>
              </w:rPr>
              <w:t>2,333</w:t>
            </w:r>
          </w:p>
        </w:tc>
        <w:tc>
          <w:tcPr>
            <w:tcW w:w="1408" w:type="pct"/>
            <w:shd w:val="clear" w:color="auto" w:fill="auto"/>
            <w:noWrap/>
            <w:vAlign w:val="center"/>
            <w:hideMark/>
          </w:tcPr>
          <w:p w14:paraId="623D4077" w14:textId="77777777" w:rsidR="002B13AF" w:rsidRPr="00C85769" w:rsidRDefault="002B13AF" w:rsidP="002B13AF">
            <w:pPr>
              <w:jc w:val="center"/>
              <w:rPr>
                <w:color w:val="000000"/>
                <w:sz w:val="20"/>
                <w:szCs w:val="20"/>
                <w:lang w:eastAsia="en-GB"/>
              </w:rPr>
            </w:pPr>
            <w:r w:rsidRPr="00C85769">
              <w:rPr>
                <w:color w:val="000000"/>
                <w:sz w:val="20"/>
                <w:szCs w:val="20"/>
                <w:lang w:eastAsia="en-GB"/>
              </w:rPr>
              <w:t>Oct-12</w:t>
            </w:r>
          </w:p>
        </w:tc>
        <w:tc>
          <w:tcPr>
            <w:tcW w:w="710" w:type="pct"/>
            <w:shd w:val="clear" w:color="auto" w:fill="auto"/>
            <w:noWrap/>
            <w:vAlign w:val="center"/>
            <w:hideMark/>
          </w:tcPr>
          <w:p w14:paraId="62DEEE18" w14:textId="77777777" w:rsidR="002B13AF" w:rsidRPr="00C85769" w:rsidRDefault="002B13AF" w:rsidP="002B13AF">
            <w:pPr>
              <w:jc w:val="center"/>
              <w:rPr>
                <w:color w:val="000000"/>
                <w:sz w:val="20"/>
                <w:szCs w:val="20"/>
                <w:lang w:eastAsia="en-GB"/>
              </w:rPr>
            </w:pPr>
            <w:r w:rsidRPr="00C85769">
              <w:rPr>
                <w:color w:val="000000"/>
                <w:sz w:val="20"/>
                <w:szCs w:val="20"/>
                <w:lang w:eastAsia="en-GB"/>
              </w:rPr>
              <w:t>1,861</w:t>
            </w:r>
          </w:p>
        </w:tc>
        <w:tc>
          <w:tcPr>
            <w:tcW w:w="914" w:type="pct"/>
            <w:shd w:val="clear" w:color="auto" w:fill="auto"/>
            <w:noWrap/>
            <w:vAlign w:val="center"/>
            <w:hideMark/>
          </w:tcPr>
          <w:p w14:paraId="1D60F8E5" w14:textId="1E81F27D" w:rsidR="002B13AF" w:rsidRPr="00C85769" w:rsidRDefault="00474A5B" w:rsidP="002B13AF">
            <w:pPr>
              <w:jc w:val="center"/>
              <w:rPr>
                <w:color w:val="000000"/>
                <w:sz w:val="20"/>
                <w:szCs w:val="20"/>
                <w:lang w:eastAsia="en-GB"/>
              </w:rPr>
            </w:pPr>
            <w:r w:rsidRPr="00C85769">
              <w:rPr>
                <w:color w:val="000000"/>
                <w:sz w:val="20"/>
                <w:szCs w:val="20"/>
                <w:lang w:eastAsia="en-GB"/>
              </w:rPr>
              <w:t>79.</w:t>
            </w:r>
            <w:r w:rsidR="002B13AF" w:rsidRPr="00C85769">
              <w:rPr>
                <w:color w:val="000000"/>
                <w:sz w:val="20"/>
                <w:szCs w:val="20"/>
                <w:lang w:eastAsia="en-GB"/>
              </w:rPr>
              <w:t>8%</w:t>
            </w:r>
          </w:p>
        </w:tc>
      </w:tr>
      <w:tr w:rsidR="002B13AF" w:rsidRPr="00C85769" w14:paraId="4480B1C2" w14:textId="77777777" w:rsidTr="001C770B">
        <w:trPr>
          <w:trHeight w:val="300"/>
        </w:trPr>
        <w:tc>
          <w:tcPr>
            <w:tcW w:w="841" w:type="pct"/>
            <w:shd w:val="clear" w:color="auto" w:fill="auto"/>
            <w:noWrap/>
            <w:vAlign w:val="center"/>
            <w:hideMark/>
          </w:tcPr>
          <w:p w14:paraId="2843E451" w14:textId="77777777" w:rsidR="002B13AF" w:rsidRPr="00C85769" w:rsidRDefault="002B13AF" w:rsidP="002B13AF">
            <w:pPr>
              <w:jc w:val="center"/>
              <w:rPr>
                <w:color w:val="000000"/>
                <w:sz w:val="20"/>
                <w:szCs w:val="20"/>
                <w:lang w:eastAsia="en-GB"/>
              </w:rPr>
            </w:pPr>
            <w:r w:rsidRPr="00C85769">
              <w:rPr>
                <w:color w:val="000000"/>
                <w:sz w:val="20"/>
                <w:szCs w:val="20"/>
                <w:lang w:eastAsia="en-GB"/>
              </w:rPr>
              <w:t>May-13</w:t>
            </w:r>
          </w:p>
        </w:tc>
        <w:tc>
          <w:tcPr>
            <w:tcW w:w="1126" w:type="pct"/>
            <w:shd w:val="clear" w:color="auto" w:fill="auto"/>
            <w:noWrap/>
            <w:vAlign w:val="center"/>
            <w:hideMark/>
          </w:tcPr>
          <w:p w14:paraId="4F9ACA98" w14:textId="77777777" w:rsidR="002B13AF" w:rsidRPr="00C85769" w:rsidRDefault="002B13AF" w:rsidP="002B13AF">
            <w:pPr>
              <w:jc w:val="center"/>
              <w:rPr>
                <w:color w:val="000000"/>
                <w:sz w:val="20"/>
                <w:szCs w:val="20"/>
                <w:lang w:eastAsia="en-GB"/>
              </w:rPr>
            </w:pPr>
            <w:r w:rsidRPr="00C85769">
              <w:rPr>
                <w:color w:val="000000"/>
                <w:sz w:val="20"/>
                <w:szCs w:val="20"/>
                <w:lang w:eastAsia="en-GB"/>
              </w:rPr>
              <w:t>2,395</w:t>
            </w:r>
          </w:p>
        </w:tc>
        <w:tc>
          <w:tcPr>
            <w:tcW w:w="1408" w:type="pct"/>
            <w:shd w:val="clear" w:color="auto" w:fill="auto"/>
            <w:noWrap/>
            <w:vAlign w:val="center"/>
            <w:hideMark/>
          </w:tcPr>
          <w:p w14:paraId="005B1AE4" w14:textId="77777777" w:rsidR="002B13AF" w:rsidRPr="00C85769" w:rsidRDefault="002B13AF" w:rsidP="002B13AF">
            <w:pPr>
              <w:jc w:val="center"/>
              <w:rPr>
                <w:color w:val="000000"/>
                <w:sz w:val="20"/>
                <w:szCs w:val="20"/>
                <w:lang w:eastAsia="en-GB"/>
              </w:rPr>
            </w:pPr>
            <w:r w:rsidRPr="00C85769">
              <w:rPr>
                <w:color w:val="000000"/>
                <w:sz w:val="20"/>
                <w:szCs w:val="20"/>
                <w:lang w:eastAsia="en-GB"/>
              </w:rPr>
              <w:t>Oct-13</w:t>
            </w:r>
          </w:p>
        </w:tc>
        <w:tc>
          <w:tcPr>
            <w:tcW w:w="710" w:type="pct"/>
            <w:shd w:val="clear" w:color="auto" w:fill="auto"/>
            <w:noWrap/>
            <w:vAlign w:val="center"/>
            <w:hideMark/>
          </w:tcPr>
          <w:p w14:paraId="42233EFF" w14:textId="77777777" w:rsidR="002B13AF" w:rsidRPr="00C85769" w:rsidRDefault="002B13AF" w:rsidP="002B13AF">
            <w:pPr>
              <w:jc w:val="center"/>
              <w:rPr>
                <w:color w:val="000000"/>
                <w:sz w:val="20"/>
                <w:szCs w:val="20"/>
                <w:lang w:eastAsia="en-GB"/>
              </w:rPr>
            </w:pPr>
            <w:r w:rsidRPr="00C85769">
              <w:rPr>
                <w:color w:val="000000"/>
                <w:sz w:val="20"/>
                <w:szCs w:val="20"/>
                <w:lang w:eastAsia="en-GB"/>
              </w:rPr>
              <w:t>1,980</w:t>
            </w:r>
          </w:p>
        </w:tc>
        <w:tc>
          <w:tcPr>
            <w:tcW w:w="914" w:type="pct"/>
            <w:shd w:val="clear" w:color="auto" w:fill="auto"/>
            <w:noWrap/>
            <w:vAlign w:val="center"/>
            <w:hideMark/>
          </w:tcPr>
          <w:p w14:paraId="5D348FE2" w14:textId="75435500" w:rsidR="002B13AF" w:rsidRPr="00C85769" w:rsidRDefault="002B13AF" w:rsidP="002B13AF">
            <w:pPr>
              <w:jc w:val="center"/>
              <w:rPr>
                <w:color w:val="000000"/>
                <w:sz w:val="20"/>
                <w:szCs w:val="20"/>
                <w:lang w:eastAsia="en-GB"/>
              </w:rPr>
            </w:pPr>
            <w:r w:rsidRPr="00C85769">
              <w:rPr>
                <w:color w:val="000000"/>
                <w:sz w:val="20"/>
                <w:szCs w:val="20"/>
                <w:lang w:eastAsia="en-GB"/>
              </w:rPr>
              <w:t>8</w:t>
            </w:r>
            <w:r w:rsidR="00474A5B" w:rsidRPr="00C85769">
              <w:rPr>
                <w:color w:val="000000"/>
                <w:sz w:val="20"/>
                <w:szCs w:val="20"/>
                <w:lang w:eastAsia="en-GB"/>
              </w:rPr>
              <w:t>2.7%</w:t>
            </w:r>
          </w:p>
        </w:tc>
      </w:tr>
      <w:tr w:rsidR="002B13AF" w:rsidRPr="00C85769" w14:paraId="02DCD7D7" w14:textId="77777777" w:rsidTr="001C770B">
        <w:trPr>
          <w:trHeight w:val="300"/>
        </w:trPr>
        <w:tc>
          <w:tcPr>
            <w:tcW w:w="841" w:type="pct"/>
            <w:shd w:val="clear" w:color="auto" w:fill="auto"/>
            <w:noWrap/>
            <w:vAlign w:val="center"/>
            <w:hideMark/>
          </w:tcPr>
          <w:p w14:paraId="18304575" w14:textId="77777777" w:rsidR="002B13AF" w:rsidRPr="00C85769" w:rsidRDefault="002B13AF" w:rsidP="002B13AF">
            <w:pPr>
              <w:jc w:val="center"/>
              <w:rPr>
                <w:color w:val="000000"/>
                <w:sz w:val="20"/>
                <w:szCs w:val="20"/>
                <w:lang w:eastAsia="en-GB"/>
              </w:rPr>
            </w:pPr>
            <w:r w:rsidRPr="00C85769">
              <w:rPr>
                <w:color w:val="000000"/>
                <w:sz w:val="20"/>
                <w:szCs w:val="20"/>
                <w:lang w:eastAsia="en-GB"/>
              </w:rPr>
              <w:t>May-14</w:t>
            </w:r>
          </w:p>
        </w:tc>
        <w:tc>
          <w:tcPr>
            <w:tcW w:w="1126" w:type="pct"/>
            <w:shd w:val="clear" w:color="auto" w:fill="auto"/>
            <w:noWrap/>
            <w:vAlign w:val="center"/>
            <w:hideMark/>
          </w:tcPr>
          <w:p w14:paraId="0EE55526" w14:textId="77777777" w:rsidR="002B13AF" w:rsidRPr="00C85769" w:rsidRDefault="002B13AF" w:rsidP="002B13AF">
            <w:pPr>
              <w:jc w:val="center"/>
              <w:rPr>
                <w:color w:val="000000"/>
                <w:sz w:val="20"/>
                <w:szCs w:val="20"/>
                <w:lang w:eastAsia="en-GB"/>
              </w:rPr>
            </w:pPr>
            <w:r w:rsidRPr="00C85769">
              <w:rPr>
                <w:color w:val="000000"/>
                <w:sz w:val="20"/>
                <w:szCs w:val="20"/>
                <w:lang w:eastAsia="en-GB"/>
              </w:rPr>
              <w:t>2,545</w:t>
            </w:r>
          </w:p>
        </w:tc>
        <w:tc>
          <w:tcPr>
            <w:tcW w:w="1408" w:type="pct"/>
            <w:shd w:val="clear" w:color="auto" w:fill="auto"/>
            <w:noWrap/>
            <w:vAlign w:val="center"/>
            <w:hideMark/>
          </w:tcPr>
          <w:p w14:paraId="0F005CC3" w14:textId="77777777" w:rsidR="002B13AF" w:rsidRPr="00C85769" w:rsidRDefault="002B13AF" w:rsidP="002B13AF">
            <w:pPr>
              <w:jc w:val="center"/>
              <w:rPr>
                <w:color w:val="000000"/>
                <w:sz w:val="20"/>
                <w:szCs w:val="20"/>
                <w:lang w:eastAsia="en-GB"/>
              </w:rPr>
            </w:pPr>
            <w:r w:rsidRPr="00C85769">
              <w:rPr>
                <w:color w:val="000000"/>
                <w:sz w:val="20"/>
                <w:szCs w:val="20"/>
                <w:lang w:eastAsia="en-GB"/>
              </w:rPr>
              <w:t>Oct-14</w:t>
            </w:r>
          </w:p>
        </w:tc>
        <w:tc>
          <w:tcPr>
            <w:tcW w:w="710" w:type="pct"/>
            <w:shd w:val="clear" w:color="auto" w:fill="auto"/>
            <w:noWrap/>
            <w:vAlign w:val="center"/>
            <w:hideMark/>
          </w:tcPr>
          <w:p w14:paraId="1BF36308" w14:textId="77777777" w:rsidR="002B13AF" w:rsidRPr="00C85769" w:rsidRDefault="002B13AF" w:rsidP="002B13AF">
            <w:pPr>
              <w:jc w:val="center"/>
              <w:rPr>
                <w:color w:val="000000"/>
                <w:sz w:val="20"/>
                <w:szCs w:val="20"/>
                <w:lang w:eastAsia="en-GB"/>
              </w:rPr>
            </w:pPr>
            <w:r w:rsidRPr="00C85769">
              <w:rPr>
                <w:color w:val="000000"/>
                <w:sz w:val="20"/>
                <w:szCs w:val="20"/>
                <w:lang w:eastAsia="en-GB"/>
              </w:rPr>
              <w:t>2,172</w:t>
            </w:r>
          </w:p>
        </w:tc>
        <w:tc>
          <w:tcPr>
            <w:tcW w:w="914" w:type="pct"/>
            <w:shd w:val="clear" w:color="auto" w:fill="auto"/>
            <w:noWrap/>
            <w:vAlign w:val="center"/>
            <w:hideMark/>
          </w:tcPr>
          <w:p w14:paraId="632AFA9A" w14:textId="0BC063DB" w:rsidR="002B13AF" w:rsidRPr="00C85769" w:rsidRDefault="002B13AF" w:rsidP="002B13AF">
            <w:pPr>
              <w:jc w:val="center"/>
              <w:rPr>
                <w:color w:val="000000"/>
                <w:sz w:val="20"/>
                <w:szCs w:val="20"/>
                <w:lang w:eastAsia="en-GB"/>
              </w:rPr>
            </w:pPr>
            <w:r w:rsidRPr="00C85769">
              <w:rPr>
                <w:color w:val="000000"/>
                <w:sz w:val="20"/>
                <w:szCs w:val="20"/>
                <w:lang w:eastAsia="en-GB"/>
              </w:rPr>
              <w:t>85</w:t>
            </w:r>
            <w:r w:rsidR="00474A5B" w:rsidRPr="00C85769">
              <w:rPr>
                <w:color w:val="000000"/>
                <w:sz w:val="20"/>
                <w:szCs w:val="20"/>
                <w:lang w:eastAsia="en-GB"/>
              </w:rPr>
              <w:t>.3</w:t>
            </w:r>
            <w:r w:rsidRPr="00C85769">
              <w:rPr>
                <w:color w:val="000000"/>
                <w:sz w:val="20"/>
                <w:szCs w:val="20"/>
                <w:lang w:eastAsia="en-GB"/>
              </w:rPr>
              <w:t>%</w:t>
            </w:r>
          </w:p>
        </w:tc>
      </w:tr>
      <w:tr w:rsidR="002B13AF" w:rsidRPr="00C85769" w14:paraId="64DEE280" w14:textId="77777777" w:rsidTr="001C770B">
        <w:trPr>
          <w:trHeight w:val="300"/>
        </w:trPr>
        <w:tc>
          <w:tcPr>
            <w:tcW w:w="841" w:type="pct"/>
            <w:shd w:val="clear" w:color="auto" w:fill="auto"/>
            <w:noWrap/>
            <w:vAlign w:val="center"/>
            <w:hideMark/>
          </w:tcPr>
          <w:p w14:paraId="6D510A2D" w14:textId="77777777" w:rsidR="002B13AF" w:rsidRPr="00C85769" w:rsidRDefault="002B13AF" w:rsidP="002B13AF">
            <w:pPr>
              <w:jc w:val="center"/>
              <w:rPr>
                <w:color w:val="000000"/>
                <w:sz w:val="20"/>
                <w:szCs w:val="20"/>
                <w:lang w:eastAsia="en-GB"/>
              </w:rPr>
            </w:pPr>
            <w:r w:rsidRPr="00C85769">
              <w:rPr>
                <w:color w:val="000000"/>
                <w:sz w:val="20"/>
                <w:szCs w:val="20"/>
                <w:lang w:eastAsia="en-GB"/>
              </w:rPr>
              <w:t>May-15</w:t>
            </w:r>
          </w:p>
        </w:tc>
        <w:tc>
          <w:tcPr>
            <w:tcW w:w="1126" w:type="pct"/>
            <w:shd w:val="clear" w:color="auto" w:fill="auto"/>
            <w:noWrap/>
            <w:vAlign w:val="center"/>
            <w:hideMark/>
          </w:tcPr>
          <w:p w14:paraId="59004D98" w14:textId="77777777" w:rsidR="002B13AF" w:rsidRPr="00C85769" w:rsidRDefault="002B13AF" w:rsidP="002B13AF">
            <w:pPr>
              <w:jc w:val="center"/>
              <w:rPr>
                <w:color w:val="000000"/>
                <w:sz w:val="20"/>
                <w:szCs w:val="20"/>
                <w:lang w:eastAsia="en-GB"/>
              </w:rPr>
            </w:pPr>
            <w:r w:rsidRPr="00C85769">
              <w:rPr>
                <w:color w:val="000000"/>
                <w:sz w:val="20"/>
                <w:szCs w:val="20"/>
                <w:lang w:eastAsia="en-GB"/>
              </w:rPr>
              <w:t>2,597</w:t>
            </w:r>
          </w:p>
        </w:tc>
        <w:tc>
          <w:tcPr>
            <w:tcW w:w="1408" w:type="pct"/>
            <w:shd w:val="clear" w:color="auto" w:fill="auto"/>
            <w:noWrap/>
            <w:vAlign w:val="center"/>
            <w:hideMark/>
          </w:tcPr>
          <w:p w14:paraId="7BADAA8A" w14:textId="77777777" w:rsidR="002B13AF" w:rsidRPr="00C85769" w:rsidRDefault="002B13AF" w:rsidP="002B13AF">
            <w:pPr>
              <w:jc w:val="center"/>
              <w:rPr>
                <w:color w:val="000000"/>
                <w:sz w:val="20"/>
                <w:szCs w:val="20"/>
                <w:lang w:eastAsia="en-GB"/>
              </w:rPr>
            </w:pPr>
            <w:r w:rsidRPr="00C85769">
              <w:rPr>
                <w:color w:val="000000"/>
                <w:sz w:val="20"/>
                <w:szCs w:val="20"/>
                <w:lang w:eastAsia="en-GB"/>
              </w:rPr>
              <w:t>Oct-15</w:t>
            </w:r>
          </w:p>
        </w:tc>
        <w:tc>
          <w:tcPr>
            <w:tcW w:w="710" w:type="pct"/>
            <w:shd w:val="clear" w:color="auto" w:fill="auto"/>
            <w:noWrap/>
            <w:vAlign w:val="center"/>
            <w:hideMark/>
          </w:tcPr>
          <w:p w14:paraId="507466AB" w14:textId="77777777" w:rsidR="002B13AF" w:rsidRPr="00C85769" w:rsidRDefault="002B13AF" w:rsidP="002B13AF">
            <w:pPr>
              <w:jc w:val="center"/>
              <w:rPr>
                <w:color w:val="000000"/>
                <w:sz w:val="20"/>
                <w:szCs w:val="20"/>
                <w:lang w:eastAsia="en-GB"/>
              </w:rPr>
            </w:pPr>
            <w:r w:rsidRPr="00C85769">
              <w:rPr>
                <w:color w:val="000000"/>
                <w:sz w:val="20"/>
                <w:szCs w:val="20"/>
                <w:lang w:eastAsia="en-GB"/>
              </w:rPr>
              <w:t>2,198</w:t>
            </w:r>
          </w:p>
        </w:tc>
        <w:tc>
          <w:tcPr>
            <w:tcW w:w="914" w:type="pct"/>
            <w:shd w:val="clear" w:color="auto" w:fill="auto"/>
            <w:noWrap/>
            <w:vAlign w:val="center"/>
            <w:hideMark/>
          </w:tcPr>
          <w:p w14:paraId="1C939599" w14:textId="41682105" w:rsidR="002B13AF" w:rsidRPr="00C85769" w:rsidRDefault="002B13AF" w:rsidP="002B13AF">
            <w:pPr>
              <w:jc w:val="center"/>
              <w:rPr>
                <w:color w:val="000000"/>
                <w:sz w:val="20"/>
                <w:szCs w:val="20"/>
                <w:lang w:eastAsia="en-GB"/>
              </w:rPr>
            </w:pPr>
            <w:r w:rsidRPr="00C85769">
              <w:rPr>
                <w:color w:val="000000"/>
                <w:sz w:val="20"/>
                <w:szCs w:val="20"/>
                <w:lang w:eastAsia="en-GB"/>
              </w:rPr>
              <w:t>8</w:t>
            </w:r>
            <w:r w:rsidR="00474A5B" w:rsidRPr="00C85769">
              <w:rPr>
                <w:color w:val="000000"/>
                <w:sz w:val="20"/>
                <w:szCs w:val="20"/>
                <w:lang w:eastAsia="en-GB"/>
              </w:rPr>
              <w:t>4.6%</w:t>
            </w:r>
          </w:p>
        </w:tc>
      </w:tr>
      <w:tr w:rsidR="002B13AF" w:rsidRPr="00C85769" w14:paraId="77242E97" w14:textId="77777777" w:rsidTr="001C770B">
        <w:trPr>
          <w:trHeight w:val="300"/>
        </w:trPr>
        <w:tc>
          <w:tcPr>
            <w:tcW w:w="841" w:type="pct"/>
            <w:shd w:val="clear" w:color="auto" w:fill="auto"/>
            <w:noWrap/>
            <w:vAlign w:val="center"/>
            <w:hideMark/>
          </w:tcPr>
          <w:p w14:paraId="55A4331F" w14:textId="77777777" w:rsidR="002B13AF" w:rsidRPr="00C85769" w:rsidRDefault="002B13AF" w:rsidP="002B13AF">
            <w:pPr>
              <w:jc w:val="center"/>
              <w:rPr>
                <w:color w:val="000000"/>
                <w:sz w:val="20"/>
                <w:szCs w:val="20"/>
                <w:lang w:eastAsia="en-GB"/>
              </w:rPr>
            </w:pPr>
            <w:r w:rsidRPr="00C85769">
              <w:rPr>
                <w:color w:val="000000"/>
                <w:sz w:val="20"/>
                <w:szCs w:val="20"/>
                <w:lang w:eastAsia="en-GB"/>
              </w:rPr>
              <w:t>May-16</w:t>
            </w:r>
          </w:p>
        </w:tc>
        <w:tc>
          <w:tcPr>
            <w:tcW w:w="1126" w:type="pct"/>
            <w:shd w:val="clear" w:color="auto" w:fill="auto"/>
            <w:noWrap/>
            <w:vAlign w:val="center"/>
            <w:hideMark/>
          </w:tcPr>
          <w:p w14:paraId="174A1850" w14:textId="77777777" w:rsidR="002B13AF" w:rsidRPr="00C85769" w:rsidRDefault="002B13AF" w:rsidP="002B13AF">
            <w:pPr>
              <w:jc w:val="center"/>
              <w:rPr>
                <w:color w:val="000000"/>
                <w:sz w:val="20"/>
                <w:szCs w:val="20"/>
                <w:lang w:eastAsia="en-GB"/>
              </w:rPr>
            </w:pPr>
            <w:r w:rsidRPr="00C85769">
              <w:rPr>
                <w:color w:val="000000"/>
                <w:sz w:val="20"/>
                <w:szCs w:val="20"/>
                <w:lang w:eastAsia="en-GB"/>
              </w:rPr>
              <w:t>2,711</w:t>
            </w:r>
          </w:p>
        </w:tc>
        <w:tc>
          <w:tcPr>
            <w:tcW w:w="1408" w:type="pct"/>
            <w:shd w:val="clear" w:color="auto" w:fill="auto"/>
            <w:noWrap/>
            <w:vAlign w:val="center"/>
            <w:hideMark/>
          </w:tcPr>
          <w:p w14:paraId="109365B2" w14:textId="77777777" w:rsidR="002B13AF" w:rsidRPr="00C85769" w:rsidRDefault="002B13AF" w:rsidP="002B13AF">
            <w:pPr>
              <w:jc w:val="center"/>
              <w:rPr>
                <w:color w:val="000000"/>
                <w:sz w:val="20"/>
                <w:szCs w:val="20"/>
                <w:lang w:eastAsia="en-GB"/>
              </w:rPr>
            </w:pPr>
            <w:r w:rsidRPr="00C85769">
              <w:rPr>
                <w:color w:val="000000"/>
                <w:sz w:val="20"/>
                <w:szCs w:val="20"/>
                <w:lang w:eastAsia="en-GB"/>
              </w:rPr>
              <w:t>Oct-16</w:t>
            </w:r>
          </w:p>
        </w:tc>
        <w:tc>
          <w:tcPr>
            <w:tcW w:w="710" w:type="pct"/>
            <w:shd w:val="clear" w:color="auto" w:fill="auto"/>
            <w:noWrap/>
            <w:vAlign w:val="center"/>
            <w:hideMark/>
          </w:tcPr>
          <w:p w14:paraId="01B10CB9" w14:textId="77777777" w:rsidR="002B13AF" w:rsidRPr="00C85769" w:rsidRDefault="002B13AF" w:rsidP="002B13AF">
            <w:pPr>
              <w:jc w:val="center"/>
              <w:rPr>
                <w:color w:val="000000"/>
                <w:sz w:val="20"/>
                <w:szCs w:val="20"/>
                <w:lang w:eastAsia="en-GB"/>
              </w:rPr>
            </w:pPr>
            <w:r w:rsidRPr="00C85769">
              <w:rPr>
                <w:color w:val="000000"/>
                <w:sz w:val="20"/>
                <w:szCs w:val="20"/>
                <w:lang w:eastAsia="en-GB"/>
              </w:rPr>
              <w:t>2,371</w:t>
            </w:r>
          </w:p>
        </w:tc>
        <w:tc>
          <w:tcPr>
            <w:tcW w:w="914" w:type="pct"/>
            <w:shd w:val="clear" w:color="auto" w:fill="auto"/>
            <w:noWrap/>
            <w:vAlign w:val="center"/>
            <w:hideMark/>
          </w:tcPr>
          <w:p w14:paraId="0041CB62" w14:textId="4DC33E83" w:rsidR="002B13AF" w:rsidRPr="00C85769" w:rsidRDefault="002B13AF" w:rsidP="002B13AF">
            <w:pPr>
              <w:jc w:val="center"/>
              <w:rPr>
                <w:color w:val="000000"/>
                <w:sz w:val="20"/>
                <w:szCs w:val="20"/>
                <w:lang w:eastAsia="en-GB"/>
              </w:rPr>
            </w:pPr>
            <w:r w:rsidRPr="00C85769">
              <w:rPr>
                <w:color w:val="000000"/>
                <w:sz w:val="20"/>
                <w:szCs w:val="20"/>
                <w:lang w:eastAsia="en-GB"/>
              </w:rPr>
              <w:t>87</w:t>
            </w:r>
            <w:r w:rsidR="00474A5B" w:rsidRPr="00C85769">
              <w:rPr>
                <w:color w:val="000000"/>
                <w:sz w:val="20"/>
                <w:szCs w:val="20"/>
                <w:lang w:eastAsia="en-GB"/>
              </w:rPr>
              <w:t>.5</w:t>
            </w:r>
            <w:r w:rsidRPr="00C85769">
              <w:rPr>
                <w:color w:val="000000"/>
                <w:sz w:val="20"/>
                <w:szCs w:val="20"/>
                <w:lang w:eastAsia="en-GB"/>
              </w:rPr>
              <w:t>%</w:t>
            </w:r>
          </w:p>
        </w:tc>
      </w:tr>
      <w:tr w:rsidR="002B13AF" w:rsidRPr="00C85769" w14:paraId="1235BDA5" w14:textId="77777777" w:rsidTr="001C770B">
        <w:trPr>
          <w:trHeight w:val="300"/>
        </w:trPr>
        <w:tc>
          <w:tcPr>
            <w:tcW w:w="841" w:type="pct"/>
            <w:shd w:val="clear" w:color="auto" w:fill="auto"/>
            <w:noWrap/>
            <w:vAlign w:val="center"/>
            <w:hideMark/>
          </w:tcPr>
          <w:p w14:paraId="421C4C56" w14:textId="77777777" w:rsidR="002B13AF" w:rsidRPr="00C85769" w:rsidRDefault="002B13AF" w:rsidP="002B13AF">
            <w:pPr>
              <w:jc w:val="center"/>
              <w:rPr>
                <w:color w:val="000000"/>
                <w:sz w:val="20"/>
                <w:szCs w:val="20"/>
                <w:lang w:eastAsia="en-GB"/>
              </w:rPr>
            </w:pPr>
            <w:r w:rsidRPr="00C85769">
              <w:rPr>
                <w:color w:val="000000"/>
                <w:sz w:val="20"/>
                <w:szCs w:val="20"/>
                <w:lang w:eastAsia="en-GB"/>
              </w:rPr>
              <w:t>May-17</w:t>
            </w:r>
          </w:p>
        </w:tc>
        <w:tc>
          <w:tcPr>
            <w:tcW w:w="1126" w:type="pct"/>
            <w:shd w:val="clear" w:color="auto" w:fill="auto"/>
            <w:noWrap/>
            <w:vAlign w:val="center"/>
            <w:hideMark/>
          </w:tcPr>
          <w:p w14:paraId="52A96811" w14:textId="77777777" w:rsidR="002B13AF" w:rsidRPr="00C85769" w:rsidRDefault="002B13AF" w:rsidP="002B13AF">
            <w:pPr>
              <w:jc w:val="center"/>
              <w:rPr>
                <w:color w:val="000000"/>
                <w:sz w:val="20"/>
                <w:szCs w:val="20"/>
                <w:lang w:eastAsia="en-GB"/>
              </w:rPr>
            </w:pPr>
            <w:r w:rsidRPr="00C85769">
              <w:rPr>
                <w:color w:val="000000"/>
                <w:sz w:val="20"/>
                <w:szCs w:val="20"/>
                <w:lang w:eastAsia="en-GB"/>
              </w:rPr>
              <w:t>2,761</w:t>
            </w:r>
          </w:p>
        </w:tc>
        <w:tc>
          <w:tcPr>
            <w:tcW w:w="1408" w:type="pct"/>
            <w:shd w:val="clear" w:color="auto" w:fill="auto"/>
            <w:noWrap/>
            <w:vAlign w:val="center"/>
            <w:hideMark/>
          </w:tcPr>
          <w:p w14:paraId="480A326F" w14:textId="77777777" w:rsidR="002B13AF" w:rsidRPr="00C85769" w:rsidRDefault="002B13AF" w:rsidP="002B13AF">
            <w:pPr>
              <w:jc w:val="center"/>
              <w:rPr>
                <w:color w:val="000000"/>
                <w:sz w:val="20"/>
                <w:szCs w:val="20"/>
                <w:lang w:eastAsia="en-GB"/>
              </w:rPr>
            </w:pPr>
            <w:r w:rsidRPr="00C85769">
              <w:rPr>
                <w:color w:val="000000"/>
                <w:sz w:val="20"/>
                <w:szCs w:val="20"/>
                <w:lang w:eastAsia="en-GB"/>
              </w:rPr>
              <w:t>Oct-17</w:t>
            </w:r>
          </w:p>
        </w:tc>
        <w:tc>
          <w:tcPr>
            <w:tcW w:w="710" w:type="pct"/>
            <w:shd w:val="clear" w:color="auto" w:fill="auto"/>
            <w:noWrap/>
            <w:vAlign w:val="center"/>
            <w:hideMark/>
          </w:tcPr>
          <w:p w14:paraId="4A3DB97F" w14:textId="77777777" w:rsidR="002B13AF" w:rsidRPr="00C85769" w:rsidRDefault="002B13AF" w:rsidP="002B13AF">
            <w:pPr>
              <w:jc w:val="center"/>
              <w:rPr>
                <w:color w:val="000000"/>
                <w:sz w:val="20"/>
                <w:szCs w:val="20"/>
                <w:lang w:eastAsia="en-GB"/>
              </w:rPr>
            </w:pPr>
            <w:r w:rsidRPr="00C85769">
              <w:rPr>
                <w:color w:val="000000"/>
                <w:sz w:val="20"/>
                <w:szCs w:val="20"/>
                <w:lang w:eastAsia="en-GB"/>
              </w:rPr>
              <w:t>2,348</w:t>
            </w:r>
          </w:p>
        </w:tc>
        <w:tc>
          <w:tcPr>
            <w:tcW w:w="914" w:type="pct"/>
            <w:shd w:val="clear" w:color="auto" w:fill="auto"/>
            <w:noWrap/>
            <w:vAlign w:val="center"/>
            <w:hideMark/>
          </w:tcPr>
          <w:p w14:paraId="3D020990" w14:textId="40120A0B" w:rsidR="002B13AF" w:rsidRPr="00C85769" w:rsidRDefault="002B13AF" w:rsidP="002B13AF">
            <w:pPr>
              <w:jc w:val="center"/>
              <w:rPr>
                <w:color w:val="000000"/>
                <w:sz w:val="20"/>
                <w:szCs w:val="20"/>
                <w:lang w:eastAsia="en-GB"/>
              </w:rPr>
            </w:pPr>
            <w:r w:rsidRPr="00C85769">
              <w:rPr>
                <w:color w:val="000000"/>
                <w:sz w:val="20"/>
                <w:szCs w:val="20"/>
                <w:lang w:eastAsia="en-GB"/>
              </w:rPr>
              <w:t>85</w:t>
            </w:r>
            <w:r w:rsidR="00474A5B" w:rsidRPr="00C85769">
              <w:rPr>
                <w:color w:val="000000"/>
                <w:sz w:val="20"/>
                <w:szCs w:val="20"/>
                <w:lang w:eastAsia="en-GB"/>
              </w:rPr>
              <w:t>.0</w:t>
            </w:r>
            <w:r w:rsidRPr="00C85769">
              <w:rPr>
                <w:color w:val="000000"/>
                <w:sz w:val="20"/>
                <w:szCs w:val="20"/>
                <w:lang w:eastAsia="en-GB"/>
              </w:rPr>
              <w:t>%</w:t>
            </w:r>
          </w:p>
        </w:tc>
      </w:tr>
      <w:tr w:rsidR="002B13AF" w:rsidRPr="00C85769" w14:paraId="0EAFC4FA" w14:textId="77777777" w:rsidTr="001C770B">
        <w:trPr>
          <w:trHeight w:val="300"/>
        </w:trPr>
        <w:tc>
          <w:tcPr>
            <w:tcW w:w="841" w:type="pct"/>
            <w:shd w:val="clear" w:color="auto" w:fill="auto"/>
            <w:noWrap/>
            <w:vAlign w:val="center"/>
            <w:hideMark/>
          </w:tcPr>
          <w:p w14:paraId="32B91EBC" w14:textId="77777777" w:rsidR="002B13AF" w:rsidRPr="00C85769" w:rsidRDefault="002B13AF" w:rsidP="002B13AF">
            <w:pPr>
              <w:jc w:val="center"/>
              <w:rPr>
                <w:color w:val="000000"/>
                <w:sz w:val="20"/>
                <w:szCs w:val="20"/>
                <w:lang w:eastAsia="en-GB"/>
              </w:rPr>
            </w:pPr>
            <w:r w:rsidRPr="00C85769">
              <w:rPr>
                <w:color w:val="000000"/>
                <w:sz w:val="20"/>
                <w:szCs w:val="20"/>
                <w:lang w:eastAsia="en-GB"/>
              </w:rPr>
              <w:t>May-18</w:t>
            </w:r>
          </w:p>
        </w:tc>
        <w:tc>
          <w:tcPr>
            <w:tcW w:w="1126" w:type="pct"/>
            <w:shd w:val="clear" w:color="auto" w:fill="auto"/>
            <w:noWrap/>
            <w:vAlign w:val="center"/>
            <w:hideMark/>
          </w:tcPr>
          <w:p w14:paraId="02DCEA31" w14:textId="77777777" w:rsidR="002B13AF" w:rsidRPr="00C85769" w:rsidRDefault="002B13AF" w:rsidP="002B13AF">
            <w:pPr>
              <w:jc w:val="center"/>
              <w:rPr>
                <w:color w:val="000000"/>
                <w:sz w:val="20"/>
                <w:szCs w:val="20"/>
                <w:lang w:eastAsia="en-GB"/>
              </w:rPr>
            </w:pPr>
            <w:r w:rsidRPr="00C85769">
              <w:rPr>
                <w:color w:val="000000"/>
                <w:sz w:val="20"/>
                <w:szCs w:val="20"/>
                <w:lang w:eastAsia="en-GB"/>
              </w:rPr>
              <w:t>2,791</w:t>
            </w:r>
          </w:p>
        </w:tc>
        <w:tc>
          <w:tcPr>
            <w:tcW w:w="1408" w:type="pct"/>
            <w:shd w:val="clear" w:color="auto" w:fill="auto"/>
            <w:noWrap/>
            <w:vAlign w:val="center"/>
            <w:hideMark/>
          </w:tcPr>
          <w:p w14:paraId="70110FBF" w14:textId="77777777" w:rsidR="002B13AF" w:rsidRPr="00C85769" w:rsidRDefault="002B13AF" w:rsidP="002B13AF">
            <w:pPr>
              <w:jc w:val="center"/>
              <w:rPr>
                <w:color w:val="000000"/>
                <w:sz w:val="20"/>
                <w:szCs w:val="20"/>
                <w:lang w:eastAsia="en-GB"/>
              </w:rPr>
            </w:pPr>
            <w:r w:rsidRPr="00C85769">
              <w:rPr>
                <w:color w:val="000000"/>
                <w:sz w:val="20"/>
                <w:szCs w:val="20"/>
                <w:lang w:eastAsia="en-GB"/>
              </w:rPr>
              <w:t>Oct-18</w:t>
            </w:r>
          </w:p>
        </w:tc>
        <w:tc>
          <w:tcPr>
            <w:tcW w:w="710" w:type="pct"/>
            <w:shd w:val="clear" w:color="auto" w:fill="auto"/>
            <w:noWrap/>
            <w:vAlign w:val="center"/>
            <w:hideMark/>
          </w:tcPr>
          <w:p w14:paraId="59960A33" w14:textId="77777777" w:rsidR="002B13AF" w:rsidRPr="00C85769" w:rsidRDefault="002B13AF" w:rsidP="002B13AF">
            <w:pPr>
              <w:jc w:val="center"/>
              <w:rPr>
                <w:color w:val="000000"/>
                <w:sz w:val="20"/>
                <w:szCs w:val="20"/>
                <w:lang w:eastAsia="en-GB"/>
              </w:rPr>
            </w:pPr>
            <w:r w:rsidRPr="00C85769">
              <w:rPr>
                <w:color w:val="000000"/>
                <w:sz w:val="20"/>
                <w:szCs w:val="20"/>
                <w:lang w:eastAsia="en-GB"/>
              </w:rPr>
              <w:t>2,512</w:t>
            </w:r>
          </w:p>
        </w:tc>
        <w:tc>
          <w:tcPr>
            <w:tcW w:w="914" w:type="pct"/>
            <w:shd w:val="clear" w:color="auto" w:fill="auto"/>
            <w:noWrap/>
            <w:vAlign w:val="center"/>
            <w:hideMark/>
          </w:tcPr>
          <w:p w14:paraId="6C122203" w14:textId="2B5E25D9" w:rsidR="002B13AF" w:rsidRPr="00C85769" w:rsidRDefault="002B13AF" w:rsidP="002B13AF">
            <w:pPr>
              <w:jc w:val="center"/>
              <w:rPr>
                <w:color w:val="000000"/>
                <w:sz w:val="20"/>
                <w:szCs w:val="20"/>
                <w:lang w:eastAsia="en-GB"/>
              </w:rPr>
            </w:pPr>
            <w:r w:rsidRPr="00C85769">
              <w:rPr>
                <w:color w:val="000000"/>
                <w:sz w:val="20"/>
                <w:szCs w:val="20"/>
                <w:lang w:eastAsia="en-GB"/>
              </w:rPr>
              <w:t>90</w:t>
            </w:r>
            <w:r w:rsidR="00474A5B" w:rsidRPr="00C85769">
              <w:rPr>
                <w:color w:val="000000"/>
                <w:sz w:val="20"/>
                <w:szCs w:val="20"/>
                <w:lang w:eastAsia="en-GB"/>
              </w:rPr>
              <w:t>.0</w:t>
            </w:r>
            <w:r w:rsidRPr="00C85769">
              <w:rPr>
                <w:color w:val="000000"/>
                <w:sz w:val="20"/>
                <w:szCs w:val="20"/>
                <w:lang w:eastAsia="en-GB"/>
              </w:rPr>
              <w:t>%</w:t>
            </w:r>
          </w:p>
        </w:tc>
      </w:tr>
      <w:tr w:rsidR="002B13AF" w:rsidRPr="00C85769" w14:paraId="6E091D50" w14:textId="77777777" w:rsidTr="001C770B">
        <w:trPr>
          <w:trHeight w:val="300"/>
        </w:trPr>
        <w:tc>
          <w:tcPr>
            <w:tcW w:w="841" w:type="pct"/>
            <w:shd w:val="clear" w:color="auto" w:fill="auto"/>
            <w:noWrap/>
            <w:vAlign w:val="center"/>
            <w:hideMark/>
          </w:tcPr>
          <w:p w14:paraId="08247647" w14:textId="77777777" w:rsidR="002B13AF" w:rsidRPr="00C85769" w:rsidRDefault="002B13AF" w:rsidP="002B13AF">
            <w:pPr>
              <w:jc w:val="center"/>
              <w:rPr>
                <w:color w:val="000000"/>
                <w:sz w:val="20"/>
                <w:szCs w:val="20"/>
                <w:lang w:eastAsia="en-GB"/>
              </w:rPr>
            </w:pPr>
            <w:r w:rsidRPr="00C85769">
              <w:rPr>
                <w:color w:val="000000"/>
                <w:sz w:val="20"/>
                <w:szCs w:val="20"/>
                <w:lang w:eastAsia="en-GB"/>
              </w:rPr>
              <w:t>May-19</w:t>
            </w:r>
          </w:p>
        </w:tc>
        <w:tc>
          <w:tcPr>
            <w:tcW w:w="1126" w:type="pct"/>
            <w:shd w:val="clear" w:color="auto" w:fill="auto"/>
            <w:noWrap/>
            <w:vAlign w:val="center"/>
            <w:hideMark/>
          </w:tcPr>
          <w:p w14:paraId="79DA31E5" w14:textId="77777777" w:rsidR="002B13AF" w:rsidRPr="00C85769" w:rsidRDefault="002B13AF" w:rsidP="002B13AF">
            <w:pPr>
              <w:jc w:val="center"/>
              <w:rPr>
                <w:color w:val="000000"/>
                <w:sz w:val="20"/>
                <w:szCs w:val="20"/>
                <w:lang w:eastAsia="en-GB"/>
              </w:rPr>
            </w:pPr>
            <w:r w:rsidRPr="00C85769">
              <w:rPr>
                <w:color w:val="000000"/>
                <w:sz w:val="20"/>
                <w:szCs w:val="20"/>
                <w:lang w:eastAsia="en-GB"/>
              </w:rPr>
              <w:t>2,972</w:t>
            </w:r>
          </w:p>
        </w:tc>
        <w:tc>
          <w:tcPr>
            <w:tcW w:w="1408" w:type="pct"/>
            <w:shd w:val="clear" w:color="auto" w:fill="auto"/>
            <w:vAlign w:val="center"/>
            <w:hideMark/>
          </w:tcPr>
          <w:p w14:paraId="42B90F8F" w14:textId="77777777" w:rsidR="002B13AF" w:rsidRPr="00C85769" w:rsidRDefault="002B13AF" w:rsidP="002B13AF">
            <w:pPr>
              <w:jc w:val="center"/>
              <w:rPr>
                <w:color w:val="000000"/>
                <w:sz w:val="20"/>
                <w:szCs w:val="20"/>
                <w:lang w:eastAsia="en-GB"/>
              </w:rPr>
            </w:pPr>
            <w:r w:rsidRPr="00C85769">
              <w:rPr>
                <w:color w:val="000000"/>
                <w:sz w:val="20"/>
                <w:szCs w:val="20"/>
                <w:lang w:eastAsia="en-GB"/>
              </w:rPr>
              <w:t>Oct-19</w:t>
            </w:r>
          </w:p>
        </w:tc>
        <w:tc>
          <w:tcPr>
            <w:tcW w:w="710" w:type="pct"/>
            <w:shd w:val="clear" w:color="auto" w:fill="auto"/>
            <w:noWrap/>
            <w:vAlign w:val="center"/>
            <w:hideMark/>
          </w:tcPr>
          <w:p w14:paraId="5096B40B" w14:textId="77777777" w:rsidR="002B13AF" w:rsidRPr="00C85769" w:rsidRDefault="002B13AF" w:rsidP="002B13AF">
            <w:pPr>
              <w:jc w:val="center"/>
              <w:rPr>
                <w:color w:val="000000"/>
                <w:sz w:val="20"/>
                <w:szCs w:val="20"/>
                <w:lang w:eastAsia="en-GB"/>
              </w:rPr>
            </w:pPr>
            <w:r w:rsidRPr="00C85769">
              <w:rPr>
                <w:color w:val="000000"/>
                <w:sz w:val="20"/>
                <w:szCs w:val="20"/>
                <w:lang w:eastAsia="en-GB"/>
              </w:rPr>
              <w:t>2,659</w:t>
            </w:r>
          </w:p>
        </w:tc>
        <w:tc>
          <w:tcPr>
            <w:tcW w:w="914" w:type="pct"/>
            <w:shd w:val="clear" w:color="auto" w:fill="auto"/>
            <w:noWrap/>
            <w:vAlign w:val="center"/>
            <w:hideMark/>
          </w:tcPr>
          <w:p w14:paraId="4085F4B2" w14:textId="5CF1EC43" w:rsidR="002B13AF" w:rsidRPr="00C85769" w:rsidRDefault="002B13AF" w:rsidP="002B13AF">
            <w:pPr>
              <w:jc w:val="center"/>
              <w:rPr>
                <w:color w:val="000000"/>
                <w:sz w:val="20"/>
                <w:szCs w:val="20"/>
                <w:lang w:eastAsia="en-GB"/>
              </w:rPr>
            </w:pPr>
            <w:r w:rsidRPr="00C85769">
              <w:rPr>
                <w:color w:val="000000"/>
                <w:sz w:val="20"/>
                <w:szCs w:val="20"/>
                <w:lang w:eastAsia="en-GB"/>
              </w:rPr>
              <w:t>89</w:t>
            </w:r>
            <w:r w:rsidR="00474A5B" w:rsidRPr="00C85769">
              <w:rPr>
                <w:color w:val="000000"/>
                <w:sz w:val="20"/>
                <w:szCs w:val="20"/>
                <w:lang w:eastAsia="en-GB"/>
              </w:rPr>
              <w:t>.5</w:t>
            </w:r>
            <w:r w:rsidRPr="00C85769">
              <w:rPr>
                <w:color w:val="000000"/>
                <w:sz w:val="20"/>
                <w:szCs w:val="20"/>
                <w:lang w:eastAsia="en-GB"/>
              </w:rPr>
              <w:t>%</w:t>
            </w:r>
          </w:p>
        </w:tc>
      </w:tr>
      <w:tr w:rsidR="00A93899" w:rsidRPr="00C85769" w14:paraId="035EFFAF" w14:textId="77777777" w:rsidTr="001C770B">
        <w:trPr>
          <w:trHeight w:val="300"/>
        </w:trPr>
        <w:tc>
          <w:tcPr>
            <w:tcW w:w="841" w:type="pct"/>
            <w:shd w:val="clear" w:color="auto" w:fill="auto"/>
            <w:noWrap/>
            <w:vAlign w:val="center"/>
          </w:tcPr>
          <w:p w14:paraId="52494C4C" w14:textId="6AB3DB26" w:rsidR="00A93899" w:rsidRPr="00C85769" w:rsidRDefault="00A93899" w:rsidP="002B13AF">
            <w:pPr>
              <w:jc w:val="center"/>
              <w:rPr>
                <w:color w:val="000000"/>
                <w:sz w:val="20"/>
                <w:szCs w:val="20"/>
                <w:lang w:eastAsia="en-GB"/>
              </w:rPr>
            </w:pPr>
            <w:r w:rsidRPr="00C85769">
              <w:rPr>
                <w:color w:val="000000"/>
                <w:sz w:val="20"/>
                <w:szCs w:val="20"/>
                <w:lang w:eastAsia="en-GB"/>
              </w:rPr>
              <w:t>Jan-20</w:t>
            </w:r>
          </w:p>
        </w:tc>
        <w:tc>
          <w:tcPr>
            <w:tcW w:w="1126" w:type="pct"/>
            <w:shd w:val="clear" w:color="auto" w:fill="auto"/>
            <w:noWrap/>
            <w:vAlign w:val="center"/>
          </w:tcPr>
          <w:p w14:paraId="6100EFA0" w14:textId="62E9B53D" w:rsidR="00A93899" w:rsidRPr="00C85769" w:rsidRDefault="00E7700E" w:rsidP="002B13AF">
            <w:pPr>
              <w:jc w:val="center"/>
              <w:rPr>
                <w:color w:val="000000"/>
                <w:sz w:val="20"/>
                <w:szCs w:val="20"/>
                <w:lang w:eastAsia="en-GB"/>
              </w:rPr>
            </w:pPr>
            <w:r w:rsidRPr="00C85769">
              <w:rPr>
                <w:color w:val="000000"/>
                <w:sz w:val="20"/>
                <w:szCs w:val="20"/>
                <w:lang w:eastAsia="en-GB"/>
              </w:rPr>
              <w:t>3,038</w:t>
            </w:r>
          </w:p>
        </w:tc>
        <w:tc>
          <w:tcPr>
            <w:tcW w:w="1408" w:type="pct"/>
            <w:shd w:val="clear" w:color="auto" w:fill="auto"/>
            <w:vAlign w:val="center"/>
          </w:tcPr>
          <w:p w14:paraId="7BF5BC2A" w14:textId="0C93251B" w:rsidR="00A93899" w:rsidRPr="00C85769" w:rsidRDefault="00E7700E" w:rsidP="002B13AF">
            <w:pPr>
              <w:jc w:val="center"/>
              <w:rPr>
                <w:color w:val="000000"/>
                <w:sz w:val="20"/>
                <w:szCs w:val="20"/>
                <w:lang w:eastAsia="en-GB"/>
              </w:rPr>
            </w:pPr>
            <w:r w:rsidRPr="00C85769">
              <w:rPr>
                <w:color w:val="000000"/>
                <w:sz w:val="20"/>
                <w:szCs w:val="20"/>
                <w:lang w:eastAsia="en-GB"/>
              </w:rPr>
              <w:t>Oct-20</w:t>
            </w:r>
          </w:p>
        </w:tc>
        <w:tc>
          <w:tcPr>
            <w:tcW w:w="710" w:type="pct"/>
            <w:shd w:val="clear" w:color="auto" w:fill="auto"/>
            <w:noWrap/>
            <w:vAlign w:val="center"/>
          </w:tcPr>
          <w:p w14:paraId="1D409ECE" w14:textId="1A2BE571" w:rsidR="00A93899" w:rsidRPr="00C85769" w:rsidRDefault="00E7700E" w:rsidP="002B13AF">
            <w:pPr>
              <w:jc w:val="center"/>
              <w:rPr>
                <w:color w:val="000000"/>
                <w:sz w:val="20"/>
                <w:szCs w:val="20"/>
                <w:lang w:eastAsia="en-GB"/>
              </w:rPr>
            </w:pPr>
            <w:r w:rsidRPr="00C85769">
              <w:rPr>
                <w:color w:val="000000"/>
                <w:sz w:val="20"/>
                <w:szCs w:val="20"/>
                <w:lang w:eastAsia="en-GB"/>
              </w:rPr>
              <w:t>2,618</w:t>
            </w:r>
          </w:p>
        </w:tc>
        <w:tc>
          <w:tcPr>
            <w:tcW w:w="914" w:type="pct"/>
            <w:shd w:val="clear" w:color="auto" w:fill="auto"/>
            <w:noWrap/>
            <w:vAlign w:val="center"/>
          </w:tcPr>
          <w:p w14:paraId="53190EF0" w14:textId="0439760E" w:rsidR="00A93899" w:rsidRPr="00C85769" w:rsidRDefault="00B846CB" w:rsidP="002B13AF">
            <w:pPr>
              <w:jc w:val="center"/>
              <w:rPr>
                <w:color w:val="000000"/>
                <w:sz w:val="20"/>
                <w:szCs w:val="20"/>
                <w:lang w:eastAsia="en-GB"/>
              </w:rPr>
            </w:pPr>
            <w:r w:rsidRPr="00C85769">
              <w:rPr>
                <w:color w:val="000000"/>
                <w:sz w:val="20"/>
                <w:szCs w:val="20"/>
                <w:lang w:eastAsia="en-GB"/>
              </w:rPr>
              <w:t>86</w:t>
            </w:r>
            <w:r w:rsidR="00474A5B" w:rsidRPr="00C85769">
              <w:rPr>
                <w:color w:val="000000"/>
                <w:sz w:val="20"/>
                <w:szCs w:val="20"/>
                <w:lang w:eastAsia="en-GB"/>
              </w:rPr>
              <w:t>.2</w:t>
            </w:r>
            <w:r w:rsidRPr="00C85769">
              <w:rPr>
                <w:color w:val="000000"/>
                <w:sz w:val="20"/>
                <w:szCs w:val="20"/>
                <w:lang w:eastAsia="en-GB"/>
              </w:rPr>
              <w:t>%</w:t>
            </w:r>
          </w:p>
        </w:tc>
      </w:tr>
      <w:tr w:rsidR="001C770B" w:rsidRPr="00C85769" w14:paraId="4FBAD50E" w14:textId="77777777" w:rsidTr="001C770B">
        <w:trPr>
          <w:trHeight w:val="300"/>
        </w:trPr>
        <w:tc>
          <w:tcPr>
            <w:tcW w:w="841" w:type="pct"/>
            <w:shd w:val="clear" w:color="auto" w:fill="auto"/>
            <w:noWrap/>
            <w:vAlign w:val="center"/>
          </w:tcPr>
          <w:p w14:paraId="195815A3" w14:textId="698B4DFD" w:rsidR="001C770B" w:rsidRPr="00C85769" w:rsidRDefault="001C770B" w:rsidP="002B13AF">
            <w:pPr>
              <w:jc w:val="center"/>
              <w:rPr>
                <w:color w:val="000000"/>
                <w:sz w:val="20"/>
                <w:szCs w:val="20"/>
                <w:lang w:eastAsia="en-GB"/>
              </w:rPr>
            </w:pPr>
            <w:r w:rsidRPr="00C85769">
              <w:rPr>
                <w:color w:val="000000"/>
                <w:sz w:val="20"/>
                <w:szCs w:val="20"/>
                <w:lang w:eastAsia="en-GB"/>
              </w:rPr>
              <w:t>May-21</w:t>
            </w:r>
          </w:p>
        </w:tc>
        <w:tc>
          <w:tcPr>
            <w:tcW w:w="1126" w:type="pct"/>
            <w:shd w:val="clear" w:color="auto" w:fill="auto"/>
            <w:noWrap/>
            <w:vAlign w:val="center"/>
          </w:tcPr>
          <w:p w14:paraId="6342D7CB" w14:textId="4AB666A3" w:rsidR="001C770B" w:rsidRPr="00C85769" w:rsidRDefault="001C770B" w:rsidP="002B13AF">
            <w:pPr>
              <w:jc w:val="center"/>
              <w:rPr>
                <w:color w:val="000000"/>
                <w:sz w:val="20"/>
                <w:szCs w:val="20"/>
                <w:lang w:eastAsia="en-GB"/>
              </w:rPr>
            </w:pPr>
            <w:r w:rsidRPr="00C85769">
              <w:rPr>
                <w:color w:val="000000"/>
                <w:sz w:val="20"/>
                <w:szCs w:val="20"/>
                <w:lang w:eastAsia="en-GB"/>
              </w:rPr>
              <w:t>3,085</w:t>
            </w:r>
          </w:p>
        </w:tc>
        <w:tc>
          <w:tcPr>
            <w:tcW w:w="1408" w:type="pct"/>
            <w:shd w:val="clear" w:color="auto" w:fill="auto"/>
            <w:vAlign w:val="center"/>
          </w:tcPr>
          <w:p w14:paraId="165D6ED3" w14:textId="11BC0A0F" w:rsidR="001C770B" w:rsidRPr="00C85769" w:rsidRDefault="001C770B" w:rsidP="002B13AF">
            <w:pPr>
              <w:jc w:val="center"/>
              <w:rPr>
                <w:color w:val="000000"/>
                <w:sz w:val="20"/>
                <w:szCs w:val="20"/>
                <w:lang w:eastAsia="en-GB"/>
              </w:rPr>
            </w:pPr>
            <w:r w:rsidRPr="00C85769">
              <w:rPr>
                <w:color w:val="000000"/>
                <w:sz w:val="20"/>
                <w:szCs w:val="20"/>
                <w:lang w:eastAsia="en-GB"/>
              </w:rPr>
              <w:t>Oct-21</w:t>
            </w:r>
          </w:p>
        </w:tc>
        <w:tc>
          <w:tcPr>
            <w:tcW w:w="710" w:type="pct"/>
            <w:shd w:val="clear" w:color="auto" w:fill="auto"/>
            <w:noWrap/>
            <w:vAlign w:val="center"/>
          </w:tcPr>
          <w:p w14:paraId="19715398" w14:textId="61417ADF" w:rsidR="001C770B" w:rsidRPr="00C85769" w:rsidRDefault="00474A5B" w:rsidP="002B13AF">
            <w:pPr>
              <w:jc w:val="center"/>
              <w:rPr>
                <w:color w:val="000000"/>
                <w:sz w:val="20"/>
                <w:szCs w:val="20"/>
                <w:lang w:eastAsia="en-GB"/>
              </w:rPr>
            </w:pPr>
            <w:r w:rsidRPr="00C85769">
              <w:rPr>
                <w:color w:val="000000"/>
                <w:sz w:val="20"/>
                <w:szCs w:val="20"/>
                <w:lang w:eastAsia="en-GB"/>
              </w:rPr>
              <w:t>2,627</w:t>
            </w:r>
          </w:p>
        </w:tc>
        <w:tc>
          <w:tcPr>
            <w:tcW w:w="914" w:type="pct"/>
            <w:shd w:val="clear" w:color="auto" w:fill="auto"/>
            <w:noWrap/>
            <w:vAlign w:val="center"/>
          </w:tcPr>
          <w:p w14:paraId="2BA0B7E0" w14:textId="184AB35B" w:rsidR="001C770B" w:rsidRPr="00C85769" w:rsidRDefault="00474A5B" w:rsidP="002B13AF">
            <w:pPr>
              <w:jc w:val="center"/>
              <w:rPr>
                <w:color w:val="000000"/>
                <w:sz w:val="20"/>
                <w:szCs w:val="20"/>
                <w:lang w:eastAsia="en-GB"/>
              </w:rPr>
            </w:pPr>
            <w:r w:rsidRPr="00C85769">
              <w:rPr>
                <w:color w:val="000000"/>
                <w:sz w:val="20"/>
                <w:szCs w:val="20"/>
                <w:lang w:eastAsia="en-GB"/>
              </w:rPr>
              <w:t>85.2%</w:t>
            </w:r>
          </w:p>
        </w:tc>
      </w:tr>
      <w:tr w:rsidR="00BC2CA5" w:rsidRPr="00C85769" w14:paraId="0F858E5B" w14:textId="77777777" w:rsidTr="001C770B">
        <w:trPr>
          <w:trHeight w:val="300"/>
        </w:trPr>
        <w:tc>
          <w:tcPr>
            <w:tcW w:w="841" w:type="pct"/>
            <w:shd w:val="clear" w:color="auto" w:fill="auto"/>
            <w:noWrap/>
            <w:vAlign w:val="center"/>
          </w:tcPr>
          <w:p w14:paraId="6B4D1B57" w14:textId="3D800090" w:rsidR="00BC2CA5" w:rsidRPr="00C85769" w:rsidRDefault="00BC2CA5" w:rsidP="002B13AF">
            <w:pPr>
              <w:jc w:val="center"/>
              <w:rPr>
                <w:color w:val="000000"/>
                <w:sz w:val="20"/>
                <w:szCs w:val="20"/>
                <w:lang w:eastAsia="en-GB"/>
              </w:rPr>
            </w:pPr>
            <w:r>
              <w:rPr>
                <w:color w:val="000000"/>
                <w:sz w:val="20"/>
                <w:szCs w:val="20"/>
                <w:lang w:eastAsia="en-GB"/>
              </w:rPr>
              <w:t>May-22</w:t>
            </w:r>
          </w:p>
        </w:tc>
        <w:tc>
          <w:tcPr>
            <w:tcW w:w="1126" w:type="pct"/>
            <w:shd w:val="clear" w:color="auto" w:fill="auto"/>
            <w:noWrap/>
            <w:vAlign w:val="center"/>
          </w:tcPr>
          <w:p w14:paraId="081ED73D" w14:textId="6F33157E" w:rsidR="00BC2CA5" w:rsidRPr="00C85769" w:rsidRDefault="006D5639" w:rsidP="002B13AF">
            <w:pPr>
              <w:jc w:val="center"/>
              <w:rPr>
                <w:color w:val="000000"/>
                <w:sz w:val="20"/>
                <w:szCs w:val="20"/>
                <w:lang w:eastAsia="en-GB"/>
              </w:rPr>
            </w:pPr>
            <w:r>
              <w:rPr>
                <w:color w:val="000000"/>
                <w:sz w:val="20"/>
                <w:szCs w:val="20"/>
                <w:lang w:eastAsia="en-GB"/>
              </w:rPr>
              <w:t>3,078</w:t>
            </w:r>
          </w:p>
        </w:tc>
        <w:tc>
          <w:tcPr>
            <w:tcW w:w="1408" w:type="pct"/>
            <w:shd w:val="clear" w:color="auto" w:fill="auto"/>
            <w:vAlign w:val="center"/>
          </w:tcPr>
          <w:p w14:paraId="2233F1BD" w14:textId="4A75F76F" w:rsidR="00BC2CA5" w:rsidRPr="00C85769" w:rsidRDefault="006D5639" w:rsidP="002B13AF">
            <w:pPr>
              <w:jc w:val="center"/>
              <w:rPr>
                <w:color w:val="000000"/>
                <w:sz w:val="20"/>
                <w:szCs w:val="20"/>
                <w:lang w:eastAsia="en-GB"/>
              </w:rPr>
            </w:pPr>
            <w:r>
              <w:rPr>
                <w:color w:val="000000"/>
                <w:sz w:val="20"/>
                <w:szCs w:val="20"/>
                <w:lang w:eastAsia="en-GB"/>
              </w:rPr>
              <w:t>Oct-22</w:t>
            </w:r>
          </w:p>
        </w:tc>
        <w:tc>
          <w:tcPr>
            <w:tcW w:w="710" w:type="pct"/>
            <w:shd w:val="clear" w:color="auto" w:fill="auto"/>
            <w:noWrap/>
            <w:vAlign w:val="center"/>
          </w:tcPr>
          <w:p w14:paraId="3DCDAA70" w14:textId="029D1132" w:rsidR="00BC2CA5" w:rsidRPr="00C85769" w:rsidRDefault="00BC2CA5" w:rsidP="002B13AF">
            <w:pPr>
              <w:jc w:val="center"/>
              <w:rPr>
                <w:color w:val="000000"/>
                <w:sz w:val="20"/>
                <w:szCs w:val="20"/>
                <w:lang w:eastAsia="en-GB"/>
              </w:rPr>
            </w:pPr>
            <w:r>
              <w:rPr>
                <w:color w:val="000000"/>
                <w:sz w:val="20"/>
                <w:szCs w:val="20"/>
                <w:lang w:eastAsia="en-GB"/>
              </w:rPr>
              <w:t>2,651</w:t>
            </w:r>
          </w:p>
        </w:tc>
        <w:tc>
          <w:tcPr>
            <w:tcW w:w="914" w:type="pct"/>
            <w:shd w:val="clear" w:color="auto" w:fill="auto"/>
            <w:noWrap/>
            <w:vAlign w:val="center"/>
          </w:tcPr>
          <w:p w14:paraId="16106F2B" w14:textId="49D69DC7" w:rsidR="00BC2CA5" w:rsidRPr="00C85769" w:rsidRDefault="00A67B21" w:rsidP="002B13AF">
            <w:pPr>
              <w:jc w:val="center"/>
              <w:rPr>
                <w:color w:val="000000"/>
                <w:sz w:val="20"/>
                <w:szCs w:val="20"/>
                <w:lang w:eastAsia="en-GB"/>
              </w:rPr>
            </w:pPr>
            <w:r>
              <w:rPr>
                <w:color w:val="000000"/>
                <w:sz w:val="20"/>
                <w:szCs w:val="20"/>
                <w:lang w:eastAsia="en-GB"/>
              </w:rPr>
              <w:t>86.1%</w:t>
            </w:r>
          </w:p>
        </w:tc>
      </w:tr>
    </w:tbl>
    <w:p w14:paraId="25AC6ADC" w14:textId="77777777" w:rsidR="00A16979" w:rsidRPr="00C85769" w:rsidRDefault="00A16979" w:rsidP="00A16979">
      <w:pPr>
        <w:spacing w:after="20" w:line="300" w:lineRule="exact"/>
        <w:jc w:val="both"/>
        <w:rPr>
          <w:bCs/>
          <w:sz w:val="20"/>
          <w:szCs w:val="20"/>
        </w:rPr>
      </w:pPr>
      <w:r w:rsidRPr="00C85769">
        <w:rPr>
          <w:bCs/>
          <w:sz w:val="20"/>
          <w:szCs w:val="20"/>
        </w:rPr>
        <w:t xml:space="preserve">*The numbers on roll do not include special school </w:t>
      </w:r>
      <w:proofErr w:type="gramStart"/>
      <w:r w:rsidRPr="00C85769">
        <w:rPr>
          <w:bCs/>
          <w:sz w:val="20"/>
          <w:szCs w:val="20"/>
        </w:rPr>
        <w:t>pupils;</w:t>
      </w:r>
      <w:proofErr w:type="gramEnd"/>
    </w:p>
    <w:p w14:paraId="628C3018" w14:textId="709C9047" w:rsidR="00A16979" w:rsidRPr="00C85769" w:rsidRDefault="00A16979" w:rsidP="00A16979">
      <w:pPr>
        <w:spacing w:after="20" w:line="300" w:lineRule="exact"/>
        <w:jc w:val="both"/>
        <w:rPr>
          <w:bCs/>
          <w:sz w:val="20"/>
          <w:szCs w:val="20"/>
        </w:rPr>
      </w:pPr>
      <w:r w:rsidRPr="00C85769">
        <w:rPr>
          <w:bCs/>
          <w:sz w:val="20"/>
          <w:szCs w:val="20"/>
        </w:rPr>
        <w:t>**The October 2011 data was not available for Academies, so the January 2012 school census was used instead.</w:t>
      </w:r>
    </w:p>
    <w:p w14:paraId="65079D17" w14:textId="77777777" w:rsidR="0070674A" w:rsidRPr="00C85769" w:rsidRDefault="0070674A" w:rsidP="0070674A">
      <w:pPr>
        <w:spacing w:line="300" w:lineRule="exact"/>
        <w:jc w:val="both"/>
        <w:rPr>
          <w:bCs/>
          <w:sz w:val="20"/>
          <w:szCs w:val="20"/>
        </w:rPr>
      </w:pPr>
      <w:r w:rsidRPr="00C85769">
        <w:rPr>
          <w:bCs/>
          <w:sz w:val="20"/>
          <w:szCs w:val="20"/>
        </w:rPr>
        <w:t>***The May 2020 school census was not collected due to the Covid-19 pandemic.</w:t>
      </w:r>
    </w:p>
    <w:p w14:paraId="371DEF12" w14:textId="77777777" w:rsidR="00A16979" w:rsidRPr="00C85769" w:rsidRDefault="00A16979" w:rsidP="00A16979">
      <w:pPr>
        <w:rPr>
          <w:sz w:val="16"/>
          <w:szCs w:val="16"/>
        </w:rPr>
      </w:pPr>
    </w:p>
    <w:p w14:paraId="224D8BED" w14:textId="3F170A8B" w:rsidR="007B7BAC" w:rsidRPr="00A16979" w:rsidRDefault="00A16979" w:rsidP="00A16979">
      <w:r w:rsidRPr="00C85769">
        <w:lastRenderedPageBreak/>
        <w:t>If you compa</w:t>
      </w:r>
      <w:r w:rsidR="00404743" w:rsidRPr="00C85769">
        <w:t>re the transfer rate in table 9</w:t>
      </w:r>
      <w:r w:rsidRPr="00C85769">
        <w:t xml:space="preserve"> an</w:t>
      </w:r>
      <w:r w:rsidR="00404743" w:rsidRPr="00C85769">
        <w:t>d the retention rate in table 10</w:t>
      </w:r>
      <w:r w:rsidRPr="00C85769">
        <w:t>, this indicates that some of the 3</w:t>
      </w:r>
      <w:r w:rsidR="00842CF9" w:rsidRPr="00C85769">
        <w:t>0</w:t>
      </w:r>
      <w:r w:rsidRPr="00C85769">
        <w:t>% of pupils who did not transfer at the end of Year 6 from a Harrow Primary School into Year 7 of a Harrow secondary school are replaced by children from outside the borough. The retention rate will be monitored closely to identify any emerging trends arising as a result of changes to secondary school provision in Harrow with the opening of new and additional secondary places.</w:t>
      </w:r>
    </w:p>
    <w:sectPr w:rsidR="007B7BAC" w:rsidRPr="00A16979" w:rsidSect="00655C19">
      <w:headerReference w:type="default" r:id="rId20"/>
      <w:footerReference w:type="default" r:id="rId21"/>
      <w:pgSz w:w="11906" w:h="16838" w:code="9"/>
      <w:pgMar w:top="851" w:right="851" w:bottom="851" w:left="851" w:header="340"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32806D" w14:textId="77777777" w:rsidR="0018607A" w:rsidRDefault="0018607A" w:rsidP="007F0A1C">
      <w:r>
        <w:separator/>
      </w:r>
    </w:p>
  </w:endnote>
  <w:endnote w:type="continuationSeparator" w:id="0">
    <w:p w14:paraId="7A4F0D1D" w14:textId="77777777" w:rsidR="0018607A" w:rsidRDefault="0018607A" w:rsidP="007F0A1C">
      <w:r>
        <w:continuationSeparator/>
      </w:r>
    </w:p>
  </w:endnote>
  <w:endnote w:type="continuationNotice" w:id="1">
    <w:p w14:paraId="1AE2B4D4" w14:textId="77777777" w:rsidR="0018607A" w:rsidRDefault="001860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oundry Form Sans">
    <w:altName w:val="Bell MT"/>
    <w:charset w:val="00"/>
    <w:family w:val="auto"/>
    <w:pitch w:val="variable"/>
    <w:sig w:usb0="00000003" w:usb1="0000004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
    <w:altName w:val="Yu Gothic"/>
    <w:panose1 w:val="00000000000000000000"/>
    <w:charset w:val="80"/>
    <w:family w:val="auto"/>
    <w:notTrueType/>
    <w:pitch w:val="variable"/>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0109460"/>
      <w:docPartObj>
        <w:docPartGallery w:val="Page Numbers (Bottom of Page)"/>
        <w:docPartUnique/>
      </w:docPartObj>
    </w:sdtPr>
    <w:sdtEndPr>
      <w:rPr>
        <w:noProof/>
      </w:rPr>
    </w:sdtEndPr>
    <w:sdtContent>
      <w:p w14:paraId="6C8CC974" w14:textId="14B6454F" w:rsidR="00FA054D" w:rsidRDefault="00FA054D">
        <w:pPr>
          <w:pStyle w:val="Footer"/>
          <w:jc w:val="center"/>
        </w:pPr>
        <w:r>
          <w:fldChar w:fldCharType="begin"/>
        </w:r>
        <w:r>
          <w:instrText xml:space="preserve"> PAGE   \* MERGEFORMAT </w:instrText>
        </w:r>
        <w:r>
          <w:fldChar w:fldCharType="separate"/>
        </w:r>
        <w:r>
          <w:rPr>
            <w:noProof/>
          </w:rPr>
          <w:t>7</w:t>
        </w:r>
        <w:r>
          <w:rPr>
            <w:noProof/>
          </w:rPr>
          <w:fldChar w:fldCharType="end"/>
        </w:r>
      </w:p>
    </w:sdtContent>
  </w:sdt>
  <w:p w14:paraId="4A9BE356" w14:textId="77777777" w:rsidR="00FA054D" w:rsidRDefault="00FA05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87A5F9" w14:textId="77777777" w:rsidR="0018607A" w:rsidRDefault="0018607A" w:rsidP="007F0A1C">
      <w:r>
        <w:separator/>
      </w:r>
    </w:p>
  </w:footnote>
  <w:footnote w:type="continuationSeparator" w:id="0">
    <w:p w14:paraId="21D55FC3" w14:textId="77777777" w:rsidR="0018607A" w:rsidRDefault="0018607A" w:rsidP="007F0A1C">
      <w:r>
        <w:continuationSeparator/>
      </w:r>
    </w:p>
  </w:footnote>
  <w:footnote w:type="continuationNotice" w:id="1">
    <w:p w14:paraId="2CCF5389" w14:textId="77777777" w:rsidR="0018607A" w:rsidRDefault="0018607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EDAE0" w14:textId="3D390893" w:rsidR="00FA054D" w:rsidRDefault="00FA054D" w:rsidP="00851042">
    <w:pPr>
      <w:jc w:val="center"/>
    </w:pPr>
    <w:r w:rsidRPr="00D21D75">
      <w:rPr>
        <w:b/>
        <w:i/>
      </w:rPr>
      <w:t>School Roll Projections 20</w:t>
    </w:r>
    <w:r>
      <w:rPr>
        <w:b/>
        <w:i/>
      </w:rPr>
      <w:t>2</w:t>
    </w:r>
    <w:r w:rsidR="0045299D">
      <w:rPr>
        <w:b/>
        <w:i/>
      </w:rPr>
      <w:t>3</w:t>
    </w:r>
    <w:r w:rsidRPr="00D21D75">
      <w:rPr>
        <w:b/>
        <w:i/>
      </w:rPr>
      <w:t>-203</w:t>
    </w:r>
    <w:r w:rsidR="0045299D">
      <w:rPr>
        <w:b/>
        <w:i/>
      </w:rPr>
      <w:t>5</w:t>
    </w:r>
    <w:r>
      <w:rPr>
        <w:b/>
        <w:i/>
      </w:rPr>
      <w:tab/>
      <w:t xml:space="preserve">                                                                  A</w:t>
    </w:r>
    <w:r w:rsidR="00693459">
      <w:rPr>
        <w:b/>
        <w:i/>
      </w:rPr>
      <w:t>ppendix A</w:t>
    </w:r>
    <w:r>
      <w:rPr>
        <w:b/>
        <w:i/>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A53742"/>
    <w:multiLevelType w:val="hybridMultilevel"/>
    <w:tmpl w:val="3710E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B748E1"/>
    <w:multiLevelType w:val="multilevel"/>
    <w:tmpl w:val="44AE43A2"/>
    <w:lvl w:ilvl="0">
      <w:start w:val="1"/>
      <w:numFmt w:val="decimal"/>
      <w:lvlRestart w:val="0"/>
      <w:pStyle w:val="DfESOutNumbered"/>
      <w:lvlText w:val="%1."/>
      <w:lvlJc w:val="left"/>
      <w:pPr>
        <w:tabs>
          <w:tab w:val="num" w:pos="720"/>
        </w:tabs>
      </w:pPr>
      <w:rPr>
        <w:rFonts w:cs="Times New Roman"/>
      </w:rPr>
    </w:lvl>
    <w:lvl w:ilvl="1">
      <w:start w:val="1"/>
      <w:numFmt w:val="lowerLetter"/>
      <w:lvlText w:val="%2."/>
      <w:lvlJc w:val="left"/>
      <w:pPr>
        <w:tabs>
          <w:tab w:val="num" w:pos="1440"/>
        </w:tabs>
        <w:ind w:left="1440" w:hanging="720"/>
      </w:pPr>
      <w:rPr>
        <w:rFonts w:cs="Times New Roman"/>
      </w:rPr>
    </w:lvl>
    <w:lvl w:ilvl="2">
      <w:start w:val="1"/>
      <w:numFmt w:val="lowerRoman"/>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lowerRoman"/>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lowerLetter"/>
      <w:lvlText w:val="%8."/>
      <w:lvlJc w:val="left"/>
      <w:pPr>
        <w:tabs>
          <w:tab w:val="num" w:pos="5760"/>
        </w:tabs>
        <w:ind w:left="5760" w:hanging="720"/>
      </w:pPr>
      <w:rPr>
        <w:rFonts w:cs="Times New Roman"/>
      </w:rPr>
    </w:lvl>
    <w:lvl w:ilvl="8">
      <w:start w:val="1"/>
      <w:numFmt w:val="lowerRoman"/>
      <w:lvlText w:val="%9."/>
      <w:lvlJc w:val="left"/>
      <w:pPr>
        <w:tabs>
          <w:tab w:val="num" w:pos="6480"/>
        </w:tabs>
        <w:ind w:left="6480" w:hanging="720"/>
      </w:pPr>
      <w:rPr>
        <w:rFonts w:cs="Times New Roman"/>
      </w:rPr>
    </w:lvl>
  </w:abstractNum>
  <w:abstractNum w:abstractNumId="2" w15:restartNumberingAfterBreak="0">
    <w:nsid w:val="1C3557CD"/>
    <w:multiLevelType w:val="hybridMultilevel"/>
    <w:tmpl w:val="CBBEB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B84320"/>
    <w:multiLevelType w:val="hybridMultilevel"/>
    <w:tmpl w:val="B198B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2E7204"/>
    <w:multiLevelType w:val="hybridMultilevel"/>
    <w:tmpl w:val="C00AC9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00B35F3"/>
    <w:multiLevelType w:val="hybridMultilevel"/>
    <w:tmpl w:val="F6D887B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43803BD6"/>
    <w:multiLevelType w:val="hybridMultilevel"/>
    <w:tmpl w:val="43D80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FFD38A7"/>
    <w:multiLevelType w:val="hybridMultilevel"/>
    <w:tmpl w:val="42DE950A"/>
    <w:lvl w:ilvl="0" w:tplc="89A2A80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1926434"/>
    <w:multiLevelType w:val="hybridMultilevel"/>
    <w:tmpl w:val="CE24DC5A"/>
    <w:lvl w:ilvl="0" w:tplc="C9A44378">
      <w:start w:val="1"/>
      <w:numFmt w:val="bullet"/>
      <w:pStyle w:val="Heading8"/>
      <w:lvlText w:val=""/>
      <w:lvlJc w:val="left"/>
      <w:pPr>
        <w:tabs>
          <w:tab w:val="num" w:pos="1647"/>
        </w:tabs>
        <w:ind w:left="1647" w:hanging="567"/>
      </w:pPr>
      <w:rPr>
        <w:rFonts w:ascii="Symbol" w:hAnsi="Symbol" w:hint="default"/>
      </w:rPr>
    </w:lvl>
    <w:lvl w:ilvl="1" w:tplc="04090003" w:tentative="1">
      <w:start w:val="1"/>
      <w:numFmt w:val="bullet"/>
      <w:lvlText w:val="o"/>
      <w:lvlJc w:val="left"/>
      <w:pPr>
        <w:tabs>
          <w:tab w:val="num" w:pos="1102"/>
        </w:tabs>
        <w:ind w:left="1102" w:hanging="360"/>
      </w:pPr>
      <w:rPr>
        <w:rFonts w:ascii="Courier New" w:hAnsi="Courier New" w:hint="default"/>
      </w:rPr>
    </w:lvl>
    <w:lvl w:ilvl="2" w:tplc="04090005">
      <w:start w:val="1"/>
      <w:numFmt w:val="bullet"/>
      <w:lvlText w:val=""/>
      <w:lvlJc w:val="left"/>
      <w:pPr>
        <w:tabs>
          <w:tab w:val="num" w:pos="1822"/>
        </w:tabs>
        <w:ind w:left="1822" w:hanging="360"/>
      </w:pPr>
      <w:rPr>
        <w:rFonts w:ascii="Wingdings" w:hAnsi="Wingdings" w:hint="default"/>
      </w:rPr>
    </w:lvl>
    <w:lvl w:ilvl="3" w:tplc="04090001" w:tentative="1">
      <w:start w:val="1"/>
      <w:numFmt w:val="bullet"/>
      <w:lvlText w:val=""/>
      <w:lvlJc w:val="left"/>
      <w:pPr>
        <w:tabs>
          <w:tab w:val="num" w:pos="2542"/>
        </w:tabs>
        <w:ind w:left="2542" w:hanging="360"/>
      </w:pPr>
      <w:rPr>
        <w:rFonts w:ascii="Symbol" w:hAnsi="Symbol" w:hint="default"/>
      </w:rPr>
    </w:lvl>
    <w:lvl w:ilvl="4" w:tplc="04090003" w:tentative="1">
      <w:start w:val="1"/>
      <w:numFmt w:val="bullet"/>
      <w:lvlText w:val="o"/>
      <w:lvlJc w:val="left"/>
      <w:pPr>
        <w:tabs>
          <w:tab w:val="num" w:pos="3262"/>
        </w:tabs>
        <w:ind w:left="3262" w:hanging="360"/>
      </w:pPr>
      <w:rPr>
        <w:rFonts w:ascii="Courier New" w:hAnsi="Courier New" w:hint="default"/>
      </w:rPr>
    </w:lvl>
    <w:lvl w:ilvl="5" w:tplc="04090005" w:tentative="1">
      <w:start w:val="1"/>
      <w:numFmt w:val="bullet"/>
      <w:lvlText w:val=""/>
      <w:lvlJc w:val="left"/>
      <w:pPr>
        <w:tabs>
          <w:tab w:val="num" w:pos="3982"/>
        </w:tabs>
        <w:ind w:left="3982" w:hanging="360"/>
      </w:pPr>
      <w:rPr>
        <w:rFonts w:ascii="Wingdings" w:hAnsi="Wingdings" w:hint="default"/>
      </w:rPr>
    </w:lvl>
    <w:lvl w:ilvl="6" w:tplc="04090001" w:tentative="1">
      <w:start w:val="1"/>
      <w:numFmt w:val="bullet"/>
      <w:lvlText w:val=""/>
      <w:lvlJc w:val="left"/>
      <w:pPr>
        <w:tabs>
          <w:tab w:val="num" w:pos="4702"/>
        </w:tabs>
        <w:ind w:left="4702" w:hanging="360"/>
      </w:pPr>
      <w:rPr>
        <w:rFonts w:ascii="Symbol" w:hAnsi="Symbol" w:hint="default"/>
      </w:rPr>
    </w:lvl>
    <w:lvl w:ilvl="7" w:tplc="04090003" w:tentative="1">
      <w:start w:val="1"/>
      <w:numFmt w:val="bullet"/>
      <w:lvlText w:val="o"/>
      <w:lvlJc w:val="left"/>
      <w:pPr>
        <w:tabs>
          <w:tab w:val="num" w:pos="5422"/>
        </w:tabs>
        <w:ind w:left="5422" w:hanging="360"/>
      </w:pPr>
      <w:rPr>
        <w:rFonts w:ascii="Courier New" w:hAnsi="Courier New" w:hint="default"/>
      </w:rPr>
    </w:lvl>
    <w:lvl w:ilvl="8" w:tplc="04090005" w:tentative="1">
      <w:start w:val="1"/>
      <w:numFmt w:val="bullet"/>
      <w:lvlText w:val=""/>
      <w:lvlJc w:val="left"/>
      <w:pPr>
        <w:tabs>
          <w:tab w:val="num" w:pos="6142"/>
        </w:tabs>
        <w:ind w:left="6142" w:hanging="360"/>
      </w:pPr>
      <w:rPr>
        <w:rFonts w:ascii="Wingdings" w:hAnsi="Wingdings" w:hint="default"/>
      </w:rPr>
    </w:lvl>
  </w:abstractNum>
  <w:num w:numId="1" w16cid:durableId="1226914790">
    <w:abstractNumId w:val="8"/>
  </w:num>
  <w:num w:numId="2" w16cid:durableId="953243428">
    <w:abstractNumId w:val="1"/>
  </w:num>
  <w:num w:numId="3" w16cid:durableId="1037390305">
    <w:abstractNumId w:val="5"/>
  </w:num>
  <w:num w:numId="4" w16cid:durableId="16934212">
    <w:abstractNumId w:val="6"/>
  </w:num>
  <w:num w:numId="5" w16cid:durableId="1128012481">
    <w:abstractNumId w:val="3"/>
  </w:num>
  <w:num w:numId="6" w16cid:durableId="690109804">
    <w:abstractNumId w:val="7"/>
  </w:num>
  <w:num w:numId="7" w16cid:durableId="338460144">
    <w:abstractNumId w:val="2"/>
  </w:num>
  <w:num w:numId="8" w16cid:durableId="1691371457">
    <w:abstractNumId w:val="4"/>
  </w:num>
  <w:num w:numId="9" w16cid:durableId="672147431">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0FE"/>
    <w:rsid w:val="00000880"/>
    <w:rsid w:val="00000D4D"/>
    <w:rsid w:val="00001632"/>
    <w:rsid w:val="00002C2C"/>
    <w:rsid w:val="00002E7A"/>
    <w:rsid w:val="0000397B"/>
    <w:rsid w:val="00005F21"/>
    <w:rsid w:val="00007D6D"/>
    <w:rsid w:val="00007EC2"/>
    <w:rsid w:val="00017A98"/>
    <w:rsid w:val="00020228"/>
    <w:rsid w:val="00020443"/>
    <w:rsid w:val="00023D53"/>
    <w:rsid w:val="00023E79"/>
    <w:rsid w:val="000305A7"/>
    <w:rsid w:val="00031AD3"/>
    <w:rsid w:val="00036C21"/>
    <w:rsid w:val="000379BF"/>
    <w:rsid w:val="0004228E"/>
    <w:rsid w:val="00042B31"/>
    <w:rsid w:val="00052136"/>
    <w:rsid w:val="00052DE3"/>
    <w:rsid w:val="00054139"/>
    <w:rsid w:val="00056A6A"/>
    <w:rsid w:val="00061562"/>
    <w:rsid w:val="00062892"/>
    <w:rsid w:val="00063E63"/>
    <w:rsid w:val="00073338"/>
    <w:rsid w:val="00073915"/>
    <w:rsid w:val="0008081B"/>
    <w:rsid w:val="00091C2A"/>
    <w:rsid w:val="00095EF0"/>
    <w:rsid w:val="000A230D"/>
    <w:rsid w:val="000A590F"/>
    <w:rsid w:val="000B1249"/>
    <w:rsid w:val="000B1F09"/>
    <w:rsid w:val="000B457C"/>
    <w:rsid w:val="000D7038"/>
    <w:rsid w:val="000D79D7"/>
    <w:rsid w:val="000D7A1B"/>
    <w:rsid w:val="000E4185"/>
    <w:rsid w:val="000F1C3F"/>
    <w:rsid w:val="000F429E"/>
    <w:rsid w:val="000F6107"/>
    <w:rsid w:val="000F757A"/>
    <w:rsid w:val="000F798E"/>
    <w:rsid w:val="00101C60"/>
    <w:rsid w:val="0010361D"/>
    <w:rsid w:val="00107D5B"/>
    <w:rsid w:val="00107EEF"/>
    <w:rsid w:val="00117CFE"/>
    <w:rsid w:val="00122E51"/>
    <w:rsid w:val="00124013"/>
    <w:rsid w:val="00124E65"/>
    <w:rsid w:val="001302C3"/>
    <w:rsid w:val="00130C26"/>
    <w:rsid w:val="001340F7"/>
    <w:rsid w:val="001351DF"/>
    <w:rsid w:val="00146643"/>
    <w:rsid w:val="00150528"/>
    <w:rsid w:val="00154B33"/>
    <w:rsid w:val="001571CC"/>
    <w:rsid w:val="00164F3F"/>
    <w:rsid w:val="00167759"/>
    <w:rsid w:val="001700C3"/>
    <w:rsid w:val="00170725"/>
    <w:rsid w:val="0017259F"/>
    <w:rsid w:val="00173FFE"/>
    <w:rsid w:val="00177FFC"/>
    <w:rsid w:val="0018535E"/>
    <w:rsid w:val="0018607A"/>
    <w:rsid w:val="001870B3"/>
    <w:rsid w:val="001902F7"/>
    <w:rsid w:val="00192257"/>
    <w:rsid w:val="001A454E"/>
    <w:rsid w:val="001A73DD"/>
    <w:rsid w:val="001A7C06"/>
    <w:rsid w:val="001B50CE"/>
    <w:rsid w:val="001B7258"/>
    <w:rsid w:val="001C014F"/>
    <w:rsid w:val="001C0BCB"/>
    <w:rsid w:val="001C398D"/>
    <w:rsid w:val="001C4BFB"/>
    <w:rsid w:val="001C5794"/>
    <w:rsid w:val="001C770B"/>
    <w:rsid w:val="001C7A2D"/>
    <w:rsid w:val="001D31F8"/>
    <w:rsid w:val="001F1D37"/>
    <w:rsid w:val="001F2933"/>
    <w:rsid w:val="001F2B80"/>
    <w:rsid w:val="001F3931"/>
    <w:rsid w:val="001F52F2"/>
    <w:rsid w:val="00207FD7"/>
    <w:rsid w:val="00212AEB"/>
    <w:rsid w:val="002163AC"/>
    <w:rsid w:val="002164FB"/>
    <w:rsid w:val="002205EC"/>
    <w:rsid w:val="00220707"/>
    <w:rsid w:val="00221FD1"/>
    <w:rsid w:val="00222112"/>
    <w:rsid w:val="0022239E"/>
    <w:rsid w:val="002225E1"/>
    <w:rsid w:val="0022370F"/>
    <w:rsid w:val="00225CC4"/>
    <w:rsid w:val="002268BA"/>
    <w:rsid w:val="00231FD8"/>
    <w:rsid w:val="002325EA"/>
    <w:rsid w:val="00233452"/>
    <w:rsid w:val="00234723"/>
    <w:rsid w:val="0023509D"/>
    <w:rsid w:val="00236B1E"/>
    <w:rsid w:val="002406B9"/>
    <w:rsid w:val="00240AAD"/>
    <w:rsid w:val="00241119"/>
    <w:rsid w:val="002412A9"/>
    <w:rsid w:val="00241ADA"/>
    <w:rsid w:val="00243C0C"/>
    <w:rsid w:val="00246C36"/>
    <w:rsid w:val="00247870"/>
    <w:rsid w:val="00260DDC"/>
    <w:rsid w:val="0026140F"/>
    <w:rsid w:val="0026369C"/>
    <w:rsid w:val="00266B39"/>
    <w:rsid w:val="00267D7B"/>
    <w:rsid w:val="0027068E"/>
    <w:rsid w:val="00272E02"/>
    <w:rsid w:val="00276414"/>
    <w:rsid w:val="00280D53"/>
    <w:rsid w:val="00281C6F"/>
    <w:rsid w:val="002822D7"/>
    <w:rsid w:val="00282D97"/>
    <w:rsid w:val="0028331E"/>
    <w:rsid w:val="0028368E"/>
    <w:rsid w:val="00286D8F"/>
    <w:rsid w:val="002876D7"/>
    <w:rsid w:val="002A1A1A"/>
    <w:rsid w:val="002A5217"/>
    <w:rsid w:val="002A6892"/>
    <w:rsid w:val="002B1161"/>
    <w:rsid w:val="002B117A"/>
    <w:rsid w:val="002B13AF"/>
    <w:rsid w:val="002B1EB9"/>
    <w:rsid w:val="002B27AE"/>
    <w:rsid w:val="002B302C"/>
    <w:rsid w:val="002B5A82"/>
    <w:rsid w:val="002B5ECE"/>
    <w:rsid w:val="002C3B5A"/>
    <w:rsid w:val="002C3C41"/>
    <w:rsid w:val="002C444C"/>
    <w:rsid w:val="002C5F8F"/>
    <w:rsid w:val="002C64D4"/>
    <w:rsid w:val="002C7774"/>
    <w:rsid w:val="002D19B2"/>
    <w:rsid w:val="002D2DBD"/>
    <w:rsid w:val="002D4D3A"/>
    <w:rsid w:val="002D68B1"/>
    <w:rsid w:val="002D7612"/>
    <w:rsid w:val="002D7781"/>
    <w:rsid w:val="002E175B"/>
    <w:rsid w:val="002E2F8A"/>
    <w:rsid w:val="002E3B11"/>
    <w:rsid w:val="002E67CC"/>
    <w:rsid w:val="002F1F7D"/>
    <w:rsid w:val="002F35E8"/>
    <w:rsid w:val="002F680D"/>
    <w:rsid w:val="002F77C2"/>
    <w:rsid w:val="00301FD1"/>
    <w:rsid w:val="003021E8"/>
    <w:rsid w:val="00306ADE"/>
    <w:rsid w:val="00310351"/>
    <w:rsid w:val="003132ED"/>
    <w:rsid w:val="00315E75"/>
    <w:rsid w:val="00317713"/>
    <w:rsid w:val="0032206B"/>
    <w:rsid w:val="00323132"/>
    <w:rsid w:val="0032664C"/>
    <w:rsid w:val="00327454"/>
    <w:rsid w:val="003317A3"/>
    <w:rsid w:val="00333169"/>
    <w:rsid w:val="00336087"/>
    <w:rsid w:val="00340B1D"/>
    <w:rsid w:val="003418C9"/>
    <w:rsid w:val="00341D15"/>
    <w:rsid w:val="003446F4"/>
    <w:rsid w:val="00344B92"/>
    <w:rsid w:val="00351C46"/>
    <w:rsid w:val="00357616"/>
    <w:rsid w:val="00362818"/>
    <w:rsid w:val="0036362B"/>
    <w:rsid w:val="00363D26"/>
    <w:rsid w:val="003661DF"/>
    <w:rsid w:val="00366FF5"/>
    <w:rsid w:val="00374EF4"/>
    <w:rsid w:val="003779C4"/>
    <w:rsid w:val="00383003"/>
    <w:rsid w:val="00385B61"/>
    <w:rsid w:val="00385E01"/>
    <w:rsid w:val="003903B5"/>
    <w:rsid w:val="0039073A"/>
    <w:rsid w:val="003917FE"/>
    <w:rsid w:val="00392B42"/>
    <w:rsid w:val="003942BE"/>
    <w:rsid w:val="003965A8"/>
    <w:rsid w:val="00397F84"/>
    <w:rsid w:val="003A3D1D"/>
    <w:rsid w:val="003A3E3F"/>
    <w:rsid w:val="003A7804"/>
    <w:rsid w:val="003B036C"/>
    <w:rsid w:val="003B0E4E"/>
    <w:rsid w:val="003C19D4"/>
    <w:rsid w:val="003C29B8"/>
    <w:rsid w:val="003C4DB9"/>
    <w:rsid w:val="003C5382"/>
    <w:rsid w:val="003D1C1E"/>
    <w:rsid w:val="003D2C1D"/>
    <w:rsid w:val="003D3D87"/>
    <w:rsid w:val="003D4ED9"/>
    <w:rsid w:val="003D5D71"/>
    <w:rsid w:val="003D70F9"/>
    <w:rsid w:val="003D75A7"/>
    <w:rsid w:val="003E3617"/>
    <w:rsid w:val="003E4572"/>
    <w:rsid w:val="003F1685"/>
    <w:rsid w:val="003F184A"/>
    <w:rsid w:val="003F6C75"/>
    <w:rsid w:val="0040161F"/>
    <w:rsid w:val="00403488"/>
    <w:rsid w:val="00403C90"/>
    <w:rsid w:val="00404743"/>
    <w:rsid w:val="0040646A"/>
    <w:rsid w:val="00406CBD"/>
    <w:rsid w:val="00407BB8"/>
    <w:rsid w:val="00411DD7"/>
    <w:rsid w:val="004126DE"/>
    <w:rsid w:val="00414803"/>
    <w:rsid w:val="00421B06"/>
    <w:rsid w:val="004236D9"/>
    <w:rsid w:val="00423A76"/>
    <w:rsid w:val="004258ED"/>
    <w:rsid w:val="00430886"/>
    <w:rsid w:val="004311BA"/>
    <w:rsid w:val="00433111"/>
    <w:rsid w:val="0043344A"/>
    <w:rsid w:val="0043795F"/>
    <w:rsid w:val="004423BD"/>
    <w:rsid w:val="0044358E"/>
    <w:rsid w:val="004453A5"/>
    <w:rsid w:val="0044735B"/>
    <w:rsid w:val="00450FF4"/>
    <w:rsid w:val="0045125B"/>
    <w:rsid w:val="00451629"/>
    <w:rsid w:val="0045299D"/>
    <w:rsid w:val="00452B2F"/>
    <w:rsid w:val="00454683"/>
    <w:rsid w:val="00457586"/>
    <w:rsid w:val="00462D76"/>
    <w:rsid w:val="00463908"/>
    <w:rsid w:val="00463ADB"/>
    <w:rsid w:val="00463EA8"/>
    <w:rsid w:val="0047143F"/>
    <w:rsid w:val="004726A0"/>
    <w:rsid w:val="00474A5B"/>
    <w:rsid w:val="00474ED6"/>
    <w:rsid w:val="00480FD8"/>
    <w:rsid w:val="00482ACA"/>
    <w:rsid w:val="00483A12"/>
    <w:rsid w:val="00484376"/>
    <w:rsid w:val="00486BAE"/>
    <w:rsid w:val="00486E4D"/>
    <w:rsid w:val="00487709"/>
    <w:rsid w:val="0049077D"/>
    <w:rsid w:val="004A0C1D"/>
    <w:rsid w:val="004A3E7D"/>
    <w:rsid w:val="004A63CB"/>
    <w:rsid w:val="004B2BA9"/>
    <w:rsid w:val="004B737E"/>
    <w:rsid w:val="004C3AE5"/>
    <w:rsid w:val="004C5A7B"/>
    <w:rsid w:val="004C6BC5"/>
    <w:rsid w:val="004C7906"/>
    <w:rsid w:val="004C7E52"/>
    <w:rsid w:val="004D0D2D"/>
    <w:rsid w:val="004D48CF"/>
    <w:rsid w:val="004D749F"/>
    <w:rsid w:val="004E09D8"/>
    <w:rsid w:val="004E0C1C"/>
    <w:rsid w:val="004E25F5"/>
    <w:rsid w:val="004E28C7"/>
    <w:rsid w:val="004E4847"/>
    <w:rsid w:val="004E4D7E"/>
    <w:rsid w:val="004E5CE2"/>
    <w:rsid w:val="004E66A0"/>
    <w:rsid w:val="004E7711"/>
    <w:rsid w:val="004F2BB7"/>
    <w:rsid w:val="004F37B3"/>
    <w:rsid w:val="004F455E"/>
    <w:rsid w:val="004F466D"/>
    <w:rsid w:val="004F5C6E"/>
    <w:rsid w:val="0050616F"/>
    <w:rsid w:val="00515FAD"/>
    <w:rsid w:val="00516BFE"/>
    <w:rsid w:val="00517C73"/>
    <w:rsid w:val="005235A5"/>
    <w:rsid w:val="00525310"/>
    <w:rsid w:val="00526B4E"/>
    <w:rsid w:val="00526CA6"/>
    <w:rsid w:val="00527936"/>
    <w:rsid w:val="00531695"/>
    <w:rsid w:val="005330FE"/>
    <w:rsid w:val="00536FFD"/>
    <w:rsid w:val="00540E9A"/>
    <w:rsid w:val="005415C9"/>
    <w:rsid w:val="00544F0B"/>
    <w:rsid w:val="005500F7"/>
    <w:rsid w:val="00550E5F"/>
    <w:rsid w:val="00554960"/>
    <w:rsid w:val="0055681F"/>
    <w:rsid w:val="005570B1"/>
    <w:rsid w:val="00561F99"/>
    <w:rsid w:val="005666F7"/>
    <w:rsid w:val="00567426"/>
    <w:rsid w:val="0057000F"/>
    <w:rsid w:val="00573FDA"/>
    <w:rsid w:val="005749E1"/>
    <w:rsid w:val="00574A8F"/>
    <w:rsid w:val="00577554"/>
    <w:rsid w:val="00577716"/>
    <w:rsid w:val="00581F24"/>
    <w:rsid w:val="00582AC9"/>
    <w:rsid w:val="00584D93"/>
    <w:rsid w:val="00587FC8"/>
    <w:rsid w:val="00591A6D"/>
    <w:rsid w:val="00596FE5"/>
    <w:rsid w:val="0059729A"/>
    <w:rsid w:val="005A5765"/>
    <w:rsid w:val="005A5DAF"/>
    <w:rsid w:val="005B2A28"/>
    <w:rsid w:val="005B4317"/>
    <w:rsid w:val="005B50EA"/>
    <w:rsid w:val="005B5677"/>
    <w:rsid w:val="005B70C1"/>
    <w:rsid w:val="005C2543"/>
    <w:rsid w:val="005C4026"/>
    <w:rsid w:val="005C73C2"/>
    <w:rsid w:val="005C7DB3"/>
    <w:rsid w:val="005D1564"/>
    <w:rsid w:val="005D2B3F"/>
    <w:rsid w:val="005D46A8"/>
    <w:rsid w:val="005D4D86"/>
    <w:rsid w:val="005D6615"/>
    <w:rsid w:val="005D774C"/>
    <w:rsid w:val="005E22E1"/>
    <w:rsid w:val="005E2C8C"/>
    <w:rsid w:val="005E310E"/>
    <w:rsid w:val="005E47CC"/>
    <w:rsid w:val="005F036E"/>
    <w:rsid w:val="005F14CF"/>
    <w:rsid w:val="005F1FA6"/>
    <w:rsid w:val="005F2EDE"/>
    <w:rsid w:val="005F44BF"/>
    <w:rsid w:val="00602987"/>
    <w:rsid w:val="00602C2A"/>
    <w:rsid w:val="0060347E"/>
    <w:rsid w:val="00603E1D"/>
    <w:rsid w:val="00604366"/>
    <w:rsid w:val="00604810"/>
    <w:rsid w:val="0061050A"/>
    <w:rsid w:val="00613BF5"/>
    <w:rsid w:val="00615597"/>
    <w:rsid w:val="00621FBB"/>
    <w:rsid w:val="00626E71"/>
    <w:rsid w:val="0062764B"/>
    <w:rsid w:val="0063663A"/>
    <w:rsid w:val="006374FF"/>
    <w:rsid w:val="00640C4E"/>
    <w:rsid w:val="006410A6"/>
    <w:rsid w:val="006434F5"/>
    <w:rsid w:val="00643FA9"/>
    <w:rsid w:val="00644BF2"/>
    <w:rsid w:val="0064512A"/>
    <w:rsid w:val="006465A2"/>
    <w:rsid w:val="006517E2"/>
    <w:rsid w:val="0065290A"/>
    <w:rsid w:val="00654259"/>
    <w:rsid w:val="00655C19"/>
    <w:rsid w:val="0065779B"/>
    <w:rsid w:val="006619FE"/>
    <w:rsid w:val="00663956"/>
    <w:rsid w:val="00667AAC"/>
    <w:rsid w:val="006703F3"/>
    <w:rsid w:val="00670F64"/>
    <w:rsid w:val="006719BE"/>
    <w:rsid w:val="00671F93"/>
    <w:rsid w:val="00676E4B"/>
    <w:rsid w:val="00677590"/>
    <w:rsid w:val="0068159F"/>
    <w:rsid w:val="0068398F"/>
    <w:rsid w:val="00684118"/>
    <w:rsid w:val="006854E0"/>
    <w:rsid w:val="00685759"/>
    <w:rsid w:val="00687B2E"/>
    <w:rsid w:val="0069056A"/>
    <w:rsid w:val="00691B6F"/>
    <w:rsid w:val="006922AF"/>
    <w:rsid w:val="00693459"/>
    <w:rsid w:val="00694F40"/>
    <w:rsid w:val="00695AB2"/>
    <w:rsid w:val="00697FC3"/>
    <w:rsid w:val="006A391A"/>
    <w:rsid w:val="006B0F7F"/>
    <w:rsid w:val="006B259E"/>
    <w:rsid w:val="006B2DD5"/>
    <w:rsid w:val="006B6082"/>
    <w:rsid w:val="006C0CBF"/>
    <w:rsid w:val="006C3E16"/>
    <w:rsid w:val="006C6BBE"/>
    <w:rsid w:val="006C74F6"/>
    <w:rsid w:val="006D3BB8"/>
    <w:rsid w:val="006D5639"/>
    <w:rsid w:val="006D5EED"/>
    <w:rsid w:val="006E0D58"/>
    <w:rsid w:val="006E12B8"/>
    <w:rsid w:val="006E5565"/>
    <w:rsid w:val="006E7941"/>
    <w:rsid w:val="006F0954"/>
    <w:rsid w:val="006F53D8"/>
    <w:rsid w:val="006F6F89"/>
    <w:rsid w:val="006F721E"/>
    <w:rsid w:val="006F76CF"/>
    <w:rsid w:val="006F7733"/>
    <w:rsid w:val="006F7CF5"/>
    <w:rsid w:val="007010CB"/>
    <w:rsid w:val="00702B98"/>
    <w:rsid w:val="00702E32"/>
    <w:rsid w:val="007065DB"/>
    <w:rsid w:val="0070674A"/>
    <w:rsid w:val="00710173"/>
    <w:rsid w:val="00712D26"/>
    <w:rsid w:val="00713BF3"/>
    <w:rsid w:val="00725149"/>
    <w:rsid w:val="00725435"/>
    <w:rsid w:val="00726A64"/>
    <w:rsid w:val="00731E71"/>
    <w:rsid w:val="00735646"/>
    <w:rsid w:val="00737CB8"/>
    <w:rsid w:val="007411B0"/>
    <w:rsid w:val="00742B68"/>
    <w:rsid w:val="00744D2B"/>
    <w:rsid w:val="00747718"/>
    <w:rsid w:val="00751A98"/>
    <w:rsid w:val="007534AB"/>
    <w:rsid w:val="00753BE8"/>
    <w:rsid w:val="00754992"/>
    <w:rsid w:val="0075593F"/>
    <w:rsid w:val="007626F0"/>
    <w:rsid w:val="0076307E"/>
    <w:rsid w:val="00766F75"/>
    <w:rsid w:val="00771388"/>
    <w:rsid w:val="00771D92"/>
    <w:rsid w:val="00771D99"/>
    <w:rsid w:val="00773740"/>
    <w:rsid w:val="00777CAA"/>
    <w:rsid w:val="007840A6"/>
    <w:rsid w:val="00785335"/>
    <w:rsid w:val="00787560"/>
    <w:rsid w:val="0078778D"/>
    <w:rsid w:val="0078794F"/>
    <w:rsid w:val="00787D71"/>
    <w:rsid w:val="00790224"/>
    <w:rsid w:val="0079482D"/>
    <w:rsid w:val="00795187"/>
    <w:rsid w:val="0079686D"/>
    <w:rsid w:val="00796F76"/>
    <w:rsid w:val="007B01EC"/>
    <w:rsid w:val="007B4E90"/>
    <w:rsid w:val="007B7BAC"/>
    <w:rsid w:val="007C17F8"/>
    <w:rsid w:val="007C2501"/>
    <w:rsid w:val="007C4D31"/>
    <w:rsid w:val="007C5CA7"/>
    <w:rsid w:val="007D11CC"/>
    <w:rsid w:val="007D3764"/>
    <w:rsid w:val="007D559F"/>
    <w:rsid w:val="007E3F02"/>
    <w:rsid w:val="007E41A7"/>
    <w:rsid w:val="007E4305"/>
    <w:rsid w:val="007E54E7"/>
    <w:rsid w:val="007E6C21"/>
    <w:rsid w:val="007F0A1C"/>
    <w:rsid w:val="007F1652"/>
    <w:rsid w:val="007F571D"/>
    <w:rsid w:val="007F7F8C"/>
    <w:rsid w:val="00800D66"/>
    <w:rsid w:val="00805A97"/>
    <w:rsid w:val="008103CA"/>
    <w:rsid w:val="00813C50"/>
    <w:rsid w:val="00815350"/>
    <w:rsid w:val="00817984"/>
    <w:rsid w:val="0082376F"/>
    <w:rsid w:val="00827892"/>
    <w:rsid w:val="008300E6"/>
    <w:rsid w:val="008377F5"/>
    <w:rsid w:val="00842CF9"/>
    <w:rsid w:val="00847FF6"/>
    <w:rsid w:val="008503EF"/>
    <w:rsid w:val="00851042"/>
    <w:rsid w:val="00852845"/>
    <w:rsid w:val="00852E21"/>
    <w:rsid w:val="0085691D"/>
    <w:rsid w:val="00857258"/>
    <w:rsid w:val="00861DA3"/>
    <w:rsid w:val="00864254"/>
    <w:rsid w:val="00864BDE"/>
    <w:rsid w:val="00865519"/>
    <w:rsid w:val="00871D60"/>
    <w:rsid w:val="00873615"/>
    <w:rsid w:val="008757DC"/>
    <w:rsid w:val="00880D56"/>
    <w:rsid w:val="0088296D"/>
    <w:rsid w:val="00883711"/>
    <w:rsid w:val="00883D7E"/>
    <w:rsid w:val="00891B46"/>
    <w:rsid w:val="0089353F"/>
    <w:rsid w:val="0089785F"/>
    <w:rsid w:val="008B04FD"/>
    <w:rsid w:val="008B1C31"/>
    <w:rsid w:val="008B2244"/>
    <w:rsid w:val="008B4DFD"/>
    <w:rsid w:val="008B72B9"/>
    <w:rsid w:val="008C0B8B"/>
    <w:rsid w:val="008C504A"/>
    <w:rsid w:val="008C582C"/>
    <w:rsid w:val="008C591E"/>
    <w:rsid w:val="008D0006"/>
    <w:rsid w:val="008D1491"/>
    <w:rsid w:val="008D46F9"/>
    <w:rsid w:val="008D5446"/>
    <w:rsid w:val="008D7AD9"/>
    <w:rsid w:val="008E1B6E"/>
    <w:rsid w:val="008E29E7"/>
    <w:rsid w:val="008E2E70"/>
    <w:rsid w:val="008E47B1"/>
    <w:rsid w:val="008E5C51"/>
    <w:rsid w:val="008F0E8E"/>
    <w:rsid w:val="008F1761"/>
    <w:rsid w:val="008F1B9C"/>
    <w:rsid w:val="008F2474"/>
    <w:rsid w:val="008F4561"/>
    <w:rsid w:val="008F67F5"/>
    <w:rsid w:val="0090395E"/>
    <w:rsid w:val="00907891"/>
    <w:rsid w:val="0091082C"/>
    <w:rsid w:val="00911A12"/>
    <w:rsid w:val="009135E6"/>
    <w:rsid w:val="009170B2"/>
    <w:rsid w:val="00920D79"/>
    <w:rsid w:val="00924C5B"/>
    <w:rsid w:val="00925A11"/>
    <w:rsid w:val="009278B5"/>
    <w:rsid w:val="00930303"/>
    <w:rsid w:val="009338D4"/>
    <w:rsid w:val="00933BC2"/>
    <w:rsid w:val="00936903"/>
    <w:rsid w:val="00936BC1"/>
    <w:rsid w:val="00936F42"/>
    <w:rsid w:val="00940C9C"/>
    <w:rsid w:val="00941C8F"/>
    <w:rsid w:val="00947DE8"/>
    <w:rsid w:val="009528AD"/>
    <w:rsid w:val="00952C7E"/>
    <w:rsid w:val="00961337"/>
    <w:rsid w:val="0096270F"/>
    <w:rsid w:val="009627B5"/>
    <w:rsid w:val="00967D4B"/>
    <w:rsid w:val="00967E8D"/>
    <w:rsid w:val="00974586"/>
    <w:rsid w:val="00975E7C"/>
    <w:rsid w:val="009818CF"/>
    <w:rsid w:val="00982226"/>
    <w:rsid w:val="00983AF2"/>
    <w:rsid w:val="009864B7"/>
    <w:rsid w:val="0099020C"/>
    <w:rsid w:val="009934EB"/>
    <w:rsid w:val="00997802"/>
    <w:rsid w:val="009A15BF"/>
    <w:rsid w:val="009A3595"/>
    <w:rsid w:val="009A622D"/>
    <w:rsid w:val="009B36C1"/>
    <w:rsid w:val="009B62DC"/>
    <w:rsid w:val="009C765F"/>
    <w:rsid w:val="009D3120"/>
    <w:rsid w:val="009D3464"/>
    <w:rsid w:val="009D4E03"/>
    <w:rsid w:val="009D5026"/>
    <w:rsid w:val="009D68D8"/>
    <w:rsid w:val="009E1DA5"/>
    <w:rsid w:val="009E48A1"/>
    <w:rsid w:val="00A01242"/>
    <w:rsid w:val="00A07BAC"/>
    <w:rsid w:val="00A100A4"/>
    <w:rsid w:val="00A10133"/>
    <w:rsid w:val="00A10BD7"/>
    <w:rsid w:val="00A11B15"/>
    <w:rsid w:val="00A16979"/>
    <w:rsid w:val="00A17FFD"/>
    <w:rsid w:val="00A23C31"/>
    <w:rsid w:val="00A25741"/>
    <w:rsid w:val="00A25C61"/>
    <w:rsid w:val="00A26F6A"/>
    <w:rsid w:val="00A40BEE"/>
    <w:rsid w:val="00A4764B"/>
    <w:rsid w:val="00A559BB"/>
    <w:rsid w:val="00A55CAC"/>
    <w:rsid w:val="00A575DB"/>
    <w:rsid w:val="00A6206F"/>
    <w:rsid w:val="00A63834"/>
    <w:rsid w:val="00A67B21"/>
    <w:rsid w:val="00A7032B"/>
    <w:rsid w:val="00A720BF"/>
    <w:rsid w:val="00A80383"/>
    <w:rsid w:val="00A83461"/>
    <w:rsid w:val="00A84EA8"/>
    <w:rsid w:val="00A93899"/>
    <w:rsid w:val="00A94809"/>
    <w:rsid w:val="00A95E6E"/>
    <w:rsid w:val="00AA1E3C"/>
    <w:rsid w:val="00AA2D7D"/>
    <w:rsid w:val="00AA35CC"/>
    <w:rsid w:val="00AA44D1"/>
    <w:rsid w:val="00AA4F14"/>
    <w:rsid w:val="00AA639C"/>
    <w:rsid w:val="00AB05BF"/>
    <w:rsid w:val="00AB0F40"/>
    <w:rsid w:val="00AB3136"/>
    <w:rsid w:val="00AB60AC"/>
    <w:rsid w:val="00AB6E33"/>
    <w:rsid w:val="00AB7E10"/>
    <w:rsid w:val="00AC1A3E"/>
    <w:rsid w:val="00AC372F"/>
    <w:rsid w:val="00AD01A2"/>
    <w:rsid w:val="00AD07DF"/>
    <w:rsid w:val="00AD1B95"/>
    <w:rsid w:val="00AD5DEE"/>
    <w:rsid w:val="00AD77C9"/>
    <w:rsid w:val="00AE0F90"/>
    <w:rsid w:val="00AE205E"/>
    <w:rsid w:val="00AE2D1B"/>
    <w:rsid w:val="00AE365D"/>
    <w:rsid w:val="00AF6D13"/>
    <w:rsid w:val="00AF71AB"/>
    <w:rsid w:val="00B043FF"/>
    <w:rsid w:val="00B06943"/>
    <w:rsid w:val="00B075DA"/>
    <w:rsid w:val="00B11F98"/>
    <w:rsid w:val="00B12276"/>
    <w:rsid w:val="00B12B47"/>
    <w:rsid w:val="00B2119F"/>
    <w:rsid w:val="00B2479E"/>
    <w:rsid w:val="00B26EDF"/>
    <w:rsid w:val="00B34057"/>
    <w:rsid w:val="00B35A5C"/>
    <w:rsid w:val="00B4019E"/>
    <w:rsid w:val="00B47D9E"/>
    <w:rsid w:val="00B50A68"/>
    <w:rsid w:val="00B511D4"/>
    <w:rsid w:val="00B52B9D"/>
    <w:rsid w:val="00B57CC0"/>
    <w:rsid w:val="00B670E5"/>
    <w:rsid w:val="00B6798E"/>
    <w:rsid w:val="00B7014C"/>
    <w:rsid w:val="00B71E33"/>
    <w:rsid w:val="00B73345"/>
    <w:rsid w:val="00B7461F"/>
    <w:rsid w:val="00B816BF"/>
    <w:rsid w:val="00B83432"/>
    <w:rsid w:val="00B846CB"/>
    <w:rsid w:val="00B87CA0"/>
    <w:rsid w:val="00B90992"/>
    <w:rsid w:val="00B93B18"/>
    <w:rsid w:val="00B94BD3"/>
    <w:rsid w:val="00B95100"/>
    <w:rsid w:val="00B97D07"/>
    <w:rsid w:val="00BA1210"/>
    <w:rsid w:val="00BA15A6"/>
    <w:rsid w:val="00BA15B6"/>
    <w:rsid w:val="00BA2FC9"/>
    <w:rsid w:val="00BA4BF2"/>
    <w:rsid w:val="00BA628D"/>
    <w:rsid w:val="00BA7BEA"/>
    <w:rsid w:val="00BB603E"/>
    <w:rsid w:val="00BC0FA6"/>
    <w:rsid w:val="00BC2CA5"/>
    <w:rsid w:val="00BC7A55"/>
    <w:rsid w:val="00BD1E83"/>
    <w:rsid w:val="00BD6635"/>
    <w:rsid w:val="00BE4A30"/>
    <w:rsid w:val="00BE7687"/>
    <w:rsid w:val="00BF3087"/>
    <w:rsid w:val="00BF707E"/>
    <w:rsid w:val="00BF7B0E"/>
    <w:rsid w:val="00C014B1"/>
    <w:rsid w:val="00C050C5"/>
    <w:rsid w:val="00C05F23"/>
    <w:rsid w:val="00C06C1F"/>
    <w:rsid w:val="00C12E14"/>
    <w:rsid w:val="00C143AB"/>
    <w:rsid w:val="00C15AC2"/>
    <w:rsid w:val="00C15C1F"/>
    <w:rsid w:val="00C15C70"/>
    <w:rsid w:val="00C169FC"/>
    <w:rsid w:val="00C2642C"/>
    <w:rsid w:val="00C27020"/>
    <w:rsid w:val="00C27ED0"/>
    <w:rsid w:val="00C31D61"/>
    <w:rsid w:val="00C3530C"/>
    <w:rsid w:val="00C36D4B"/>
    <w:rsid w:val="00C40020"/>
    <w:rsid w:val="00C41E05"/>
    <w:rsid w:val="00C430B4"/>
    <w:rsid w:val="00C431A5"/>
    <w:rsid w:val="00C470C3"/>
    <w:rsid w:val="00C47FEC"/>
    <w:rsid w:val="00C54CD4"/>
    <w:rsid w:val="00C55992"/>
    <w:rsid w:val="00C66FCF"/>
    <w:rsid w:val="00C675B2"/>
    <w:rsid w:val="00C72FAB"/>
    <w:rsid w:val="00C76EF6"/>
    <w:rsid w:val="00C7741B"/>
    <w:rsid w:val="00C81013"/>
    <w:rsid w:val="00C84F77"/>
    <w:rsid w:val="00C85769"/>
    <w:rsid w:val="00C907A6"/>
    <w:rsid w:val="00C919F7"/>
    <w:rsid w:val="00C91B80"/>
    <w:rsid w:val="00C93176"/>
    <w:rsid w:val="00C97BA8"/>
    <w:rsid w:val="00CA15B0"/>
    <w:rsid w:val="00CA6CC2"/>
    <w:rsid w:val="00CB074A"/>
    <w:rsid w:val="00CB2022"/>
    <w:rsid w:val="00CB2D7E"/>
    <w:rsid w:val="00CC1029"/>
    <w:rsid w:val="00CC1073"/>
    <w:rsid w:val="00CC5837"/>
    <w:rsid w:val="00CD61F4"/>
    <w:rsid w:val="00CE4205"/>
    <w:rsid w:val="00CE4C06"/>
    <w:rsid w:val="00CF1389"/>
    <w:rsid w:val="00CF3CE3"/>
    <w:rsid w:val="00CF5771"/>
    <w:rsid w:val="00D004F0"/>
    <w:rsid w:val="00D01F8E"/>
    <w:rsid w:val="00D04760"/>
    <w:rsid w:val="00D06D7D"/>
    <w:rsid w:val="00D07451"/>
    <w:rsid w:val="00D11C37"/>
    <w:rsid w:val="00D15EAE"/>
    <w:rsid w:val="00D16BB2"/>
    <w:rsid w:val="00D17AEE"/>
    <w:rsid w:val="00D17CE1"/>
    <w:rsid w:val="00D20F0C"/>
    <w:rsid w:val="00D23F8F"/>
    <w:rsid w:val="00D23F9B"/>
    <w:rsid w:val="00D26181"/>
    <w:rsid w:val="00D26D53"/>
    <w:rsid w:val="00D30F72"/>
    <w:rsid w:val="00D3122A"/>
    <w:rsid w:val="00D3167B"/>
    <w:rsid w:val="00D347C2"/>
    <w:rsid w:val="00D34E4C"/>
    <w:rsid w:val="00D40583"/>
    <w:rsid w:val="00D412F5"/>
    <w:rsid w:val="00D41818"/>
    <w:rsid w:val="00D4453B"/>
    <w:rsid w:val="00D45773"/>
    <w:rsid w:val="00D5199E"/>
    <w:rsid w:val="00D53658"/>
    <w:rsid w:val="00D60B21"/>
    <w:rsid w:val="00D6424C"/>
    <w:rsid w:val="00D65FD1"/>
    <w:rsid w:val="00D66C50"/>
    <w:rsid w:val="00D729CB"/>
    <w:rsid w:val="00D73C4E"/>
    <w:rsid w:val="00D742CC"/>
    <w:rsid w:val="00D76EB7"/>
    <w:rsid w:val="00D778AD"/>
    <w:rsid w:val="00D82E40"/>
    <w:rsid w:val="00D834C6"/>
    <w:rsid w:val="00D867F2"/>
    <w:rsid w:val="00D8697D"/>
    <w:rsid w:val="00D9328C"/>
    <w:rsid w:val="00D9494E"/>
    <w:rsid w:val="00DA1AA5"/>
    <w:rsid w:val="00DA2013"/>
    <w:rsid w:val="00DA3632"/>
    <w:rsid w:val="00DB7172"/>
    <w:rsid w:val="00DC0A7D"/>
    <w:rsid w:val="00DC3E7A"/>
    <w:rsid w:val="00DC4821"/>
    <w:rsid w:val="00DD04DB"/>
    <w:rsid w:val="00DD3DF7"/>
    <w:rsid w:val="00DD53D3"/>
    <w:rsid w:val="00DE0CD0"/>
    <w:rsid w:val="00DE0E66"/>
    <w:rsid w:val="00DE3703"/>
    <w:rsid w:val="00DE57C5"/>
    <w:rsid w:val="00DE5C50"/>
    <w:rsid w:val="00DE6274"/>
    <w:rsid w:val="00DF313C"/>
    <w:rsid w:val="00DF4148"/>
    <w:rsid w:val="00DF7897"/>
    <w:rsid w:val="00E012EF"/>
    <w:rsid w:val="00E1055A"/>
    <w:rsid w:val="00E229BB"/>
    <w:rsid w:val="00E240DF"/>
    <w:rsid w:val="00E27E21"/>
    <w:rsid w:val="00E30332"/>
    <w:rsid w:val="00E3087D"/>
    <w:rsid w:val="00E31424"/>
    <w:rsid w:val="00E37A04"/>
    <w:rsid w:val="00E40316"/>
    <w:rsid w:val="00E4235E"/>
    <w:rsid w:val="00E4501A"/>
    <w:rsid w:val="00E4647E"/>
    <w:rsid w:val="00E51ED8"/>
    <w:rsid w:val="00E53136"/>
    <w:rsid w:val="00E57D3D"/>
    <w:rsid w:val="00E66DED"/>
    <w:rsid w:val="00E66EA7"/>
    <w:rsid w:val="00E706BA"/>
    <w:rsid w:val="00E72CE7"/>
    <w:rsid w:val="00E74ACF"/>
    <w:rsid w:val="00E75482"/>
    <w:rsid w:val="00E76C21"/>
    <w:rsid w:val="00E7700E"/>
    <w:rsid w:val="00E77E67"/>
    <w:rsid w:val="00E81C66"/>
    <w:rsid w:val="00E8241B"/>
    <w:rsid w:val="00E84FB1"/>
    <w:rsid w:val="00E855A5"/>
    <w:rsid w:val="00E87D0B"/>
    <w:rsid w:val="00E9196B"/>
    <w:rsid w:val="00E97F38"/>
    <w:rsid w:val="00EA5624"/>
    <w:rsid w:val="00EB53E5"/>
    <w:rsid w:val="00EB61F7"/>
    <w:rsid w:val="00EC1656"/>
    <w:rsid w:val="00EC2510"/>
    <w:rsid w:val="00EC2B23"/>
    <w:rsid w:val="00ED184F"/>
    <w:rsid w:val="00ED2E15"/>
    <w:rsid w:val="00ED4C8B"/>
    <w:rsid w:val="00ED5646"/>
    <w:rsid w:val="00EE2B9B"/>
    <w:rsid w:val="00EE2E36"/>
    <w:rsid w:val="00EE328A"/>
    <w:rsid w:val="00EE32C4"/>
    <w:rsid w:val="00EE5BD8"/>
    <w:rsid w:val="00EE69A2"/>
    <w:rsid w:val="00EE6C5B"/>
    <w:rsid w:val="00EF00E6"/>
    <w:rsid w:val="00EF48DD"/>
    <w:rsid w:val="00EF7CC2"/>
    <w:rsid w:val="00F005BC"/>
    <w:rsid w:val="00F00F83"/>
    <w:rsid w:val="00F0238D"/>
    <w:rsid w:val="00F02ED0"/>
    <w:rsid w:val="00F031FC"/>
    <w:rsid w:val="00F11267"/>
    <w:rsid w:val="00F1710D"/>
    <w:rsid w:val="00F17A65"/>
    <w:rsid w:val="00F20538"/>
    <w:rsid w:val="00F21D99"/>
    <w:rsid w:val="00F22C78"/>
    <w:rsid w:val="00F233BF"/>
    <w:rsid w:val="00F23BF6"/>
    <w:rsid w:val="00F243CC"/>
    <w:rsid w:val="00F2511B"/>
    <w:rsid w:val="00F262CC"/>
    <w:rsid w:val="00F26985"/>
    <w:rsid w:val="00F31F76"/>
    <w:rsid w:val="00F32100"/>
    <w:rsid w:val="00F32BFE"/>
    <w:rsid w:val="00F34169"/>
    <w:rsid w:val="00F35951"/>
    <w:rsid w:val="00F37B42"/>
    <w:rsid w:val="00F41B41"/>
    <w:rsid w:val="00F47FE9"/>
    <w:rsid w:val="00F54B34"/>
    <w:rsid w:val="00F57119"/>
    <w:rsid w:val="00F575A8"/>
    <w:rsid w:val="00F57B11"/>
    <w:rsid w:val="00F60ED0"/>
    <w:rsid w:val="00F6176A"/>
    <w:rsid w:val="00F61FC6"/>
    <w:rsid w:val="00F62A3E"/>
    <w:rsid w:val="00F64741"/>
    <w:rsid w:val="00F666B6"/>
    <w:rsid w:val="00F704DD"/>
    <w:rsid w:val="00F76EA4"/>
    <w:rsid w:val="00F81C60"/>
    <w:rsid w:val="00F8241A"/>
    <w:rsid w:val="00F83A2D"/>
    <w:rsid w:val="00F84DF6"/>
    <w:rsid w:val="00F866B5"/>
    <w:rsid w:val="00F86821"/>
    <w:rsid w:val="00F92437"/>
    <w:rsid w:val="00F93DB8"/>
    <w:rsid w:val="00FA054D"/>
    <w:rsid w:val="00FA13CB"/>
    <w:rsid w:val="00FA3AF9"/>
    <w:rsid w:val="00FA4073"/>
    <w:rsid w:val="00FB2528"/>
    <w:rsid w:val="00FB35F6"/>
    <w:rsid w:val="00FB7707"/>
    <w:rsid w:val="00FB7EAE"/>
    <w:rsid w:val="00FC14D1"/>
    <w:rsid w:val="00FC2A9D"/>
    <w:rsid w:val="00FC3C32"/>
    <w:rsid w:val="00FC4B9D"/>
    <w:rsid w:val="00FC4D33"/>
    <w:rsid w:val="00FC6560"/>
    <w:rsid w:val="00FD6D1C"/>
    <w:rsid w:val="00FD7234"/>
    <w:rsid w:val="00FE19FB"/>
    <w:rsid w:val="00FE3C9C"/>
    <w:rsid w:val="00FE4151"/>
    <w:rsid w:val="00FE50BC"/>
    <w:rsid w:val="00FE64AE"/>
    <w:rsid w:val="00FE6872"/>
    <w:rsid w:val="00FE7065"/>
    <w:rsid w:val="00FF243C"/>
    <w:rsid w:val="00FF5F5C"/>
    <w:rsid w:val="00FF6887"/>
    <w:rsid w:val="0DA058AA"/>
    <w:rsid w:val="71CF5C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224D8870"/>
  <w15:docId w15:val="{DB34318F-69D4-4B11-8E1E-7CEA8D211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30FE"/>
    <w:rPr>
      <w:rFonts w:ascii="Arial" w:eastAsia="Times New Roman" w:hAnsi="Arial" w:cs="Arial"/>
      <w:sz w:val="24"/>
      <w:szCs w:val="24"/>
      <w:lang w:eastAsia="en-US"/>
    </w:rPr>
  </w:style>
  <w:style w:type="paragraph" w:styleId="Heading1">
    <w:name w:val="heading 1"/>
    <w:basedOn w:val="Normal"/>
    <w:next w:val="Normal"/>
    <w:link w:val="Heading1Char"/>
    <w:qFormat/>
    <w:rsid w:val="005330FE"/>
    <w:pPr>
      <w:keepNext/>
      <w:ind w:left="709"/>
      <w:outlineLvl w:val="0"/>
    </w:pPr>
    <w:rPr>
      <w:rFonts w:cs="Times New Roman"/>
      <w:b/>
      <w:szCs w:val="20"/>
      <w:u w:val="single"/>
    </w:rPr>
  </w:style>
  <w:style w:type="paragraph" w:styleId="Heading2">
    <w:name w:val="heading 2"/>
    <w:basedOn w:val="Normal"/>
    <w:next w:val="Normal"/>
    <w:link w:val="Heading2Char"/>
    <w:qFormat/>
    <w:rsid w:val="005330FE"/>
    <w:pPr>
      <w:keepNext/>
      <w:autoSpaceDE w:val="0"/>
      <w:autoSpaceDN w:val="0"/>
      <w:adjustRightInd w:val="0"/>
      <w:outlineLvl w:val="1"/>
    </w:pPr>
    <w:rPr>
      <w:i/>
      <w:iCs/>
      <w:color w:val="000000"/>
      <w:lang w:val="en-US"/>
    </w:rPr>
  </w:style>
  <w:style w:type="paragraph" w:styleId="Heading3">
    <w:name w:val="heading 3"/>
    <w:basedOn w:val="Normal"/>
    <w:next w:val="Normal"/>
    <w:link w:val="Heading3Char"/>
    <w:qFormat/>
    <w:rsid w:val="005330FE"/>
    <w:pPr>
      <w:keepNext/>
      <w:autoSpaceDE w:val="0"/>
      <w:autoSpaceDN w:val="0"/>
      <w:adjustRightInd w:val="0"/>
      <w:outlineLvl w:val="2"/>
    </w:pPr>
    <w:rPr>
      <w:b/>
      <w:bCs/>
      <w:color w:val="000000"/>
      <w:lang w:val="en-US"/>
    </w:rPr>
  </w:style>
  <w:style w:type="paragraph" w:styleId="Heading4">
    <w:name w:val="heading 4"/>
    <w:basedOn w:val="Normal"/>
    <w:next w:val="Normal"/>
    <w:link w:val="Heading4Char"/>
    <w:qFormat/>
    <w:rsid w:val="005330FE"/>
    <w:pPr>
      <w:keepNext/>
      <w:autoSpaceDE w:val="0"/>
      <w:autoSpaceDN w:val="0"/>
      <w:adjustRightInd w:val="0"/>
      <w:outlineLvl w:val="3"/>
    </w:pPr>
    <w:rPr>
      <w:i/>
      <w:iCs/>
    </w:rPr>
  </w:style>
  <w:style w:type="paragraph" w:styleId="Heading5">
    <w:name w:val="heading 5"/>
    <w:basedOn w:val="Normal"/>
    <w:next w:val="Normal"/>
    <w:link w:val="Heading5Char"/>
    <w:qFormat/>
    <w:rsid w:val="005330FE"/>
    <w:pPr>
      <w:keepNext/>
      <w:autoSpaceDE w:val="0"/>
      <w:autoSpaceDN w:val="0"/>
      <w:adjustRightInd w:val="0"/>
      <w:outlineLvl w:val="4"/>
    </w:pPr>
    <w:rPr>
      <w:b/>
      <w:bCs/>
      <w:color w:val="000000"/>
      <w:u w:val="single"/>
      <w:lang w:val="en-US"/>
    </w:rPr>
  </w:style>
  <w:style w:type="paragraph" w:styleId="Heading6">
    <w:name w:val="heading 6"/>
    <w:basedOn w:val="Normal"/>
    <w:next w:val="Normal"/>
    <w:link w:val="Heading6Char"/>
    <w:qFormat/>
    <w:rsid w:val="005330FE"/>
    <w:pPr>
      <w:keepNext/>
      <w:autoSpaceDE w:val="0"/>
      <w:autoSpaceDN w:val="0"/>
      <w:adjustRightInd w:val="0"/>
      <w:outlineLvl w:val="5"/>
    </w:pPr>
    <w:rPr>
      <w:b/>
      <w:bCs/>
    </w:rPr>
  </w:style>
  <w:style w:type="paragraph" w:styleId="Heading7">
    <w:name w:val="heading 7"/>
    <w:basedOn w:val="Normal"/>
    <w:next w:val="Normal"/>
    <w:link w:val="Heading7Char"/>
    <w:qFormat/>
    <w:rsid w:val="005330FE"/>
    <w:pPr>
      <w:keepNext/>
      <w:autoSpaceDE w:val="0"/>
      <w:autoSpaceDN w:val="0"/>
      <w:adjustRightInd w:val="0"/>
      <w:jc w:val="right"/>
      <w:outlineLvl w:val="6"/>
    </w:pPr>
    <w:rPr>
      <w:b/>
      <w:lang w:val="en-US"/>
    </w:rPr>
  </w:style>
  <w:style w:type="paragraph" w:styleId="Heading8">
    <w:name w:val="heading 8"/>
    <w:basedOn w:val="Normal"/>
    <w:next w:val="Normal"/>
    <w:link w:val="Heading8Char"/>
    <w:qFormat/>
    <w:rsid w:val="005330FE"/>
    <w:pPr>
      <w:keepNext/>
      <w:numPr>
        <w:numId w:val="1"/>
      </w:numPr>
      <w:autoSpaceDE w:val="0"/>
      <w:autoSpaceDN w:val="0"/>
      <w:adjustRightInd w:val="0"/>
      <w:outlineLvl w:val="7"/>
    </w:pPr>
    <w:rPr>
      <w:b/>
      <w:bCs/>
      <w:color w:val="000000"/>
      <w:lang w:val="en-US"/>
    </w:rPr>
  </w:style>
  <w:style w:type="paragraph" w:styleId="Heading9">
    <w:name w:val="heading 9"/>
    <w:basedOn w:val="Normal"/>
    <w:next w:val="Normal"/>
    <w:link w:val="Heading9Char"/>
    <w:qFormat/>
    <w:rsid w:val="005330FE"/>
    <w:pPr>
      <w:keepNext/>
      <w:autoSpaceDE w:val="0"/>
      <w:autoSpaceDN w:val="0"/>
      <w:adjustRightInd w:val="0"/>
      <w:ind w:left="720"/>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330FE"/>
    <w:rPr>
      <w:rFonts w:ascii="Arial" w:eastAsia="Times New Roman" w:hAnsi="Arial"/>
      <w:b/>
      <w:sz w:val="24"/>
      <w:u w:val="single"/>
      <w:lang w:eastAsia="en-US"/>
    </w:rPr>
  </w:style>
  <w:style w:type="character" w:customStyle="1" w:styleId="Heading2Char">
    <w:name w:val="Heading 2 Char"/>
    <w:basedOn w:val="DefaultParagraphFont"/>
    <w:link w:val="Heading2"/>
    <w:rsid w:val="005330FE"/>
    <w:rPr>
      <w:rFonts w:ascii="Arial" w:eastAsia="Times New Roman" w:hAnsi="Arial" w:cs="Arial"/>
      <w:i/>
      <w:iCs/>
      <w:color w:val="000000"/>
      <w:sz w:val="24"/>
      <w:szCs w:val="24"/>
      <w:lang w:val="en-US" w:eastAsia="en-US"/>
    </w:rPr>
  </w:style>
  <w:style w:type="character" w:customStyle="1" w:styleId="Heading3Char">
    <w:name w:val="Heading 3 Char"/>
    <w:basedOn w:val="DefaultParagraphFont"/>
    <w:link w:val="Heading3"/>
    <w:rsid w:val="005330FE"/>
    <w:rPr>
      <w:rFonts w:ascii="Arial" w:eastAsia="Times New Roman" w:hAnsi="Arial" w:cs="Arial"/>
      <w:b/>
      <w:bCs/>
      <w:color w:val="000000"/>
      <w:sz w:val="24"/>
      <w:szCs w:val="24"/>
      <w:lang w:val="en-US" w:eastAsia="en-US"/>
    </w:rPr>
  </w:style>
  <w:style w:type="character" w:customStyle="1" w:styleId="Heading4Char">
    <w:name w:val="Heading 4 Char"/>
    <w:basedOn w:val="DefaultParagraphFont"/>
    <w:link w:val="Heading4"/>
    <w:rsid w:val="005330FE"/>
    <w:rPr>
      <w:rFonts w:ascii="Arial" w:eastAsia="Times New Roman" w:hAnsi="Arial" w:cs="Arial"/>
      <w:i/>
      <w:iCs/>
      <w:sz w:val="24"/>
      <w:szCs w:val="24"/>
      <w:lang w:eastAsia="en-US"/>
    </w:rPr>
  </w:style>
  <w:style w:type="character" w:customStyle="1" w:styleId="Heading5Char">
    <w:name w:val="Heading 5 Char"/>
    <w:basedOn w:val="DefaultParagraphFont"/>
    <w:link w:val="Heading5"/>
    <w:rsid w:val="005330FE"/>
    <w:rPr>
      <w:rFonts w:ascii="Arial" w:eastAsia="Times New Roman" w:hAnsi="Arial" w:cs="Arial"/>
      <w:b/>
      <w:bCs/>
      <w:color w:val="000000"/>
      <w:sz w:val="24"/>
      <w:szCs w:val="24"/>
      <w:u w:val="single"/>
      <w:lang w:val="en-US" w:eastAsia="en-US"/>
    </w:rPr>
  </w:style>
  <w:style w:type="character" w:customStyle="1" w:styleId="Heading6Char">
    <w:name w:val="Heading 6 Char"/>
    <w:basedOn w:val="DefaultParagraphFont"/>
    <w:link w:val="Heading6"/>
    <w:rsid w:val="005330FE"/>
    <w:rPr>
      <w:rFonts w:ascii="Arial" w:eastAsia="Times New Roman" w:hAnsi="Arial" w:cs="Arial"/>
      <w:b/>
      <w:bCs/>
      <w:sz w:val="24"/>
      <w:szCs w:val="24"/>
      <w:lang w:eastAsia="en-US"/>
    </w:rPr>
  </w:style>
  <w:style w:type="character" w:customStyle="1" w:styleId="Heading7Char">
    <w:name w:val="Heading 7 Char"/>
    <w:basedOn w:val="DefaultParagraphFont"/>
    <w:link w:val="Heading7"/>
    <w:rsid w:val="005330FE"/>
    <w:rPr>
      <w:rFonts w:ascii="Arial" w:eastAsia="Times New Roman" w:hAnsi="Arial" w:cs="Arial"/>
      <w:b/>
      <w:sz w:val="24"/>
      <w:szCs w:val="24"/>
      <w:lang w:val="en-US" w:eastAsia="en-US"/>
    </w:rPr>
  </w:style>
  <w:style w:type="character" w:customStyle="1" w:styleId="Heading8Char">
    <w:name w:val="Heading 8 Char"/>
    <w:basedOn w:val="DefaultParagraphFont"/>
    <w:link w:val="Heading8"/>
    <w:rsid w:val="005330FE"/>
    <w:rPr>
      <w:rFonts w:ascii="Arial" w:eastAsia="Times New Roman" w:hAnsi="Arial" w:cs="Arial"/>
      <w:b/>
      <w:bCs/>
      <w:color w:val="000000"/>
      <w:sz w:val="24"/>
      <w:szCs w:val="24"/>
      <w:lang w:val="en-US" w:eastAsia="en-US"/>
    </w:rPr>
  </w:style>
  <w:style w:type="character" w:customStyle="1" w:styleId="Heading9Char">
    <w:name w:val="Heading 9 Char"/>
    <w:basedOn w:val="DefaultParagraphFont"/>
    <w:link w:val="Heading9"/>
    <w:rsid w:val="005330FE"/>
    <w:rPr>
      <w:rFonts w:ascii="Arial" w:eastAsia="Times New Roman" w:hAnsi="Arial" w:cs="Arial"/>
      <w:b/>
      <w:bCs/>
      <w:sz w:val="24"/>
      <w:szCs w:val="24"/>
      <w:lang w:val="en-US" w:eastAsia="en-US"/>
    </w:rPr>
  </w:style>
  <w:style w:type="paragraph" w:styleId="Header">
    <w:name w:val="header"/>
    <w:basedOn w:val="Normal"/>
    <w:link w:val="HeaderChar"/>
    <w:uiPriority w:val="99"/>
    <w:rsid w:val="005330FE"/>
    <w:pPr>
      <w:tabs>
        <w:tab w:val="center" w:pos="4320"/>
        <w:tab w:val="right" w:pos="8640"/>
      </w:tabs>
    </w:pPr>
  </w:style>
  <w:style w:type="character" w:customStyle="1" w:styleId="HeaderChar">
    <w:name w:val="Header Char"/>
    <w:basedOn w:val="DefaultParagraphFont"/>
    <w:link w:val="Header"/>
    <w:uiPriority w:val="99"/>
    <w:rsid w:val="005330FE"/>
    <w:rPr>
      <w:rFonts w:ascii="Arial" w:eastAsia="Times New Roman" w:hAnsi="Arial" w:cs="Arial"/>
      <w:sz w:val="24"/>
      <w:szCs w:val="24"/>
      <w:lang w:eastAsia="en-US"/>
    </w:rPr>
  </w:style>
  <w:style w:type="paragraph" w:styleId="Footer">
    <w:name w:val="footer"/>
    <w:basedOn w:val="Normal"/>
    <w:link w:val="FooterChar"/>
    <w:uiPriority w:val="99"/>
    <w:rsid w:val="005330FE"/>
    <w:pPr>
      <w:tabs>
        <w:tab w:val="center" w:pos="4320"/>
        <w:tab w:val="right" w:pos="8640"/>
      </w:tabs>
    </w:pPr>
  </w:style>
  <w:style w:type="character" w:customStyle="1" w:styleId="FooterChar">
    <w:name w:val="Footer Char"/>
    <w:basedOn w:val="DefaultParagraphFont"/>
    <w:link w:val="Footer"/>
    <w:uiPriority w:val="99"/>
    <w:rsid w:val="005330FE"/>
    <w:rPr>
      <w:rFonts w:ascii="Arial" w:eastAsia="Times New Roman" w:hAnsi="Arial" w:cs="Arial"/>
      <w:sz w:val="24"/>
      <w:szCs w:val="24"/>
      <w:lang w:eastAsia="en-US"/>
    </w:rPr>
  </w:style>
  <w:style w:type="paragraph" w:styleId="BodyText2">
    <w:name w:val="Body Text 2"/>
    <w:basedOn w:val="Normal"/>
    <w:link w:val="BodyText2Char"/>
    <w:rsid w:val="005330FE"/>
    <w:pPr>
      <w:autoSpaceDE w:val="0"/>
      <w:autoSpaceDN w:val="0"/>
      <w:adjustRightInd w:val="0"/>
    </w:pPr>
    <w:rPr>
      <w:color w:val="000000"/>
      <w:lang w:val="en-US"/>
    </w:rPr>
  </w:style>
  <w:style w:type="character" w:customStyle="1" w:styleId="BodyText2Char">
    <w:name w:val="Body Text 2 Char"/>
    <w:basedOn w:val="DefaultParagraphFont"/>
    <w:link w:val="BodyText2"/>
    <w:rsid w:val="005330FE"/>
    <w:rPr>
      <w:rFonts w:ascii="Arial" w:eastAsia="Times New Roman" w:hAnsi="Arial" w:cs="Arial"/>
      <w:color w:val="000000"/>
      <w:sz w:val="24"/>
      <w:szCs w:val="24"/>
      <w:lang w:val="en-US" w:eastAsia="en-US"/>
    </w:rPr>
  </w:style>
  <w:style w:type="paragraph" w:styleId="BodyText">
    <w:name w:val="Body Text"/>
    <w:basedOn w:val="Normal"/>
    <w:link w:val="BodyTextChar"/>
    <w:rsid w:val="005330FE"/>
    <w:pPr>
      <w:numPr>
        <w:ilvl w:val="12"/>
      </w:numPr>
      <w:jc w:val="both"/>
    </w:pPr>
    <w:rPr>
      <w:rFonts w:cs="Times New Roman"/>
      <w:szCs w:val="20"/>
    </w:rPr>
  </w:style>
  <w:style w:type="character" w:customStyle="1" w:styleId="BodyTextChar">
    <w:name w:val="Body Text Char"/>
    <w:basedOn w:val="DefaultParagraphFont"/>
    <w:link w:val="BodyText"/>
    <w:rsid w:val="005330FE"/>
    <w:rPr>
      <w:rFonts w:ascii="Arial" w:eastAsia="Times New Roman" w:hAnsi="Arial"/>
      <w:sz w:val="24"/>
      <w:lang w:eastAsia="en-US"/>
    </w:rPr>
  </w:style>
  <w:style w:type="paragraph" w:styleId="BodyText3">
    <w:name w:val="Body Text 3"/>
    <w:basedOn w:val="Normal"/>
    <w:link w:val="BodyText3Char"/>
    <w:rsid w:val="005330FE"/>
    <w:pPr>
      <w:spacing w:after="120"/>
    </w:pPr>
    <w:rPr>
      <w:sz w:val="16"/>
      <w:szCs w:val="16"/>
    </w:rPr>
  </w:style>
  <w:style w:type="character" w:customStyle="1" w:styleId="BodyText3Char">
    <w:name w:val="Body Text 3 Char"/>
    <w:basedOn w:val="DefaultParagraphFont"/>
    <w:link w:val="BodyText3"/>
    <w:rsid w:val="005330FE"/>
    <w:rPr>
      <w:rFonts w:ascii="Arial" w:eastAsia="Times New Roman" w:hAnsi="Arial" w:cs="Arial"/>
      <w:sz w:val="16"/>
      <w:szCs w:val="16"/>
      <w:lang w:eastAsia="en-US"/>
    </w:rPr>
  </w:style>
  <w:style w:type="character" w:styleId="PageNumber">
    <w:name w:val="page number"/>
    <w:basedOn w:val="DefaultParagraphFont"/>
    <w:rsid w:val="005330FE"/>
  </w:style>
  <w:style w:type="character" w:styleId="Hyperlink">
    <w:name w:val="Hyperlink"/>
    <w:rsid w:val="005330FE"/>
    <w:rPr>
      <w:color w:val="0000FF"/>
      <w:u w:val="single"/>
    </w:rPr>
  </w:style>
  <w:style w:type="paragraph" w:styleId="FootnoteText">
    <w:name w:val="footnote text"/>
    <w:basedOn w:val="Normal"/>
    <w:link w:val="FootnoteTextChar"/>
    <w:semiHidden/>
    <w:rsid w:val="005330FE"/>
    <w:rPr>
      <w:rFonts w:cs="Times New Roman"/>
      <w:sz w:val="20"/>
      <w:szCs w:val="20"/>
    </w:rPr>
  </w:style>
  <w:style w:type="character" w:customStyle="1" w:styleId="FootnoteTextChar">
    <w:name w:val="Footnote Text Char"/>
    <w:basedOn w:val="DefaultParagraphFont"/>
    <w:link w:val="FootnoteText"/>
    <w:semiHidden/>
    <w:rsid w:val="005330FE"/>
    <w:rPr>
      <w:rFonts w:ascii="Arial" w:eastAsia="Times New Roman" w:hAnsi="Arial"/>
      <w:lang w:eastAsia="en-US"/>
    </w:rPr>
  </w:style>
  <w:style w:type="character" w:styleId="FootnoteReference">
    <w:name w:val="footnote reference"/>
    <w:semiHidden/>
    <w:rsid w:val="005330FE"/>
    <w:rPr>
      <w:vertAlign w:val="superscript"/>
    </w:rPr>
  </w:style>
  <w:style w:type="paragraph" w:styleId="Title">
    <w:name w:val="Title"/>
    <w:basedOn w:val="Normal"/>
    <w:link w:val="TitleChar"/>
    <w:qFormat/>
    <w:rsid w:val="005330FE"/>
    <w:pPr>
      <w:autoSpaceDE w:val="0"/>
      <w:autoSpaceDN w:val="0"/>
      <w:adjustRightInd w:val="0"/>
      <w:jc w:val="center"/>
    </w:pPr>
    <w:rPr>
      <w:b/>
      <w:bCs/>
      <w:color w:val="000000"/>
      <w:sz w:val="88"/>
      <w:szCs w:val="88"/>
      <w:lang w:val="en-US"/>
    </w:rPr>
  </w:style>
  <w:style w:type="character" w:customStyle="1" w:styleId="TitleChar">
    <w:name w:val="Title Char"/>
    <w:basedOn w:val="DefaultParagraphFont"/>
    <w:link w:val="Title"/>
    <w:rsid w:val="005330FE"/>
    <w:rPr>
      <w:rFonts w:ascii="Arial" w:eastAsia="Times New Roman" w:hAnsi="Arial" w:cs="Arial"/>
      <w:b/>
      <w:bCs/>
      <w:color w:val="000000"/>
      <w:sz w:val="88"/>
      <w:szCs w:val="88"/>
      <w:lang w:val="en-US" w:eastAsia="en-US"/>
    </w:rPr>
  </w:style>
  <w:style w:type="paragraph" w:styleId="BodyTextIndent3">
    <w:name w:val="Body Text Indent 3"/>
    <w:basedOn w:val="Normal"/>
    <w:link w:val="BodyTextIndent3Char"/>
    <w:rsid w:val="005330FE"/>
    <w:pPr>
      <w:ind w:left="2127" w:hanging="2127"/>
      <w:jc w:val="both"/>
    </w:pPr>
    <w:rPr>
      <w:rFonts w:cs="Times New Roman"/>
      <w:szCs w:val="20"/>
    </w:rPr>
  </w:style>
  <w:style w:type="character" w:customStyle="1" w:styleId="BodyTextIndent3Char">
    <w:name w:val="Body Text Indent 3 Char"/>
    <w:basedOn w:val="DefaultParagraphFont"/>
    <w:link w:val="BodyTextIndent3"/>
    <w:rsid w:val="005330FE"/>
    <w:rPr>
      <w:rFonts w:ascii="Arial" w:eastAsia="Times New Roman" w:hAnsi="Arial"/>
      <w:sz w:val="24"/>
      <w:lang w:eastAsia="en-US"/>
    </w:rPr>
  </w:style>
  <w:style w:type="paragraph" w:styleId="BodyTextIndent">
    <w:name w:val="Body Text Indent"/>
    <w:basedOn w:val="Normal"/>
    <w:next w:val="Normal"/>
    <w:link w:val="BodyTextIndentChar"/>
    <w:rsid w:val="005330FE"/>
    <w:pPr>
      <w:autoSpaceDE w:val="0"/>
      <w:autoSpaceDN w:val="0"/>
      <w:adjustRightInd w:val="0"/>
    </w:pPr>
    <w:rPr>
      <w:rFonts w:ascii="Foundry Form Sans" w:hAnsi="Foundry Form Sans" w:cs="Times New Roman"/>
      <w:lang w:val="en-US"/>
    </w:rPr>
  </w:style>
  <w:style w:type="character" w:customStyle="1" w:styleId="BodyTextIndentChar">
    <w:name w:val="Body Text Indent Char"/>
    <w:basedOn w:val="DefaultParagraphFont"/>
    <w:link w:val="BodyTextIndent"/>
    <w:rsid w:val="005330FE"/>
    <w:rPr>
      <w:rFonts w:ascii="Foundry Form Sans" w:eastAsia="Times New Roman" w:hAnsi="Foundry Form Sans"/>
      <w:sz w:val="24"/>
      <w:szCs w:val="24"/>
      <w:lang w:val="en-US" w:eastAsia="en-US"/>
    </w:rPr>
  </w:style>
  <w:style w:type="character" w:styleId="CommentReference">
    <w:name w:val="annotation reference"/>
    <w:rsid w:val="005330FE"/>
    <w:rPr>
      <w:sz w:val="16"/>
      <w:szCs w:val="16"/>
    </w:rPr>
  </w:style>
  <w:style w:type="paragraph" w:styleId="CommentText">
    <w:name w:val="annotation text"/>
    <w:basedOn w:val="Normal"/>
    <w:link w:val="CommentTextChar"/>
    <w:rsid w:val="005330FE"/>
    <w:rPr>
      <w:rFonts w:cs="Times New Roman"/>
      <w:sz w:val="20"/>
      <w:szCs w:val="20"/>
      <w:lang w:val="x-none"/>
    </w:rPr>
  </w:style>
  <w:style w:type="character" w:customStyle="1" w:styleId="CommentTextChar">
    <w:name w:val="Comment Text Char"/>
    <w:basedOn w:val="DefaultParagraphFont"/>
    <w:link w:val="CommentText"/>
    <w:rsid w:val="005330FE"/>
    <w:rPr>
      <w:rFonts w:ascii="Arial" w:eastAsia="Times New Roman" w:hAnsi="Arial"/>
      <w:lang w:val="x-none" w:eastAsia="en-US"/>
    </w:rPr>
  </w:style>
  <w:style w:type="paragraph" w:styleId="CommentSubject">
    <w:name w:val="annotation subject"/>
    <w:basedOn w:val="CommentText"/>
    <w:next w:val="CommentText"/>
    <w:link w:val="CommentSubjectChar"/>
    <w:rsid w:val="005330FE"/>
    <w:rPr>
      <w:b/>
      <w:bCs/>
    </w:rPr>
  </w:style>
  <w:style w:type="character" w:customStyle="1" w:styleId="CommentSubjectChar">
    <w:name w:val="Comment Subject Char"/>
    <w:basedOn w:val="CommentTextChar"/>
    <w:link w:val="CommentSubject"/>
    <w:rsid w:val="005330FE"/>
    <w:rPr>
      <w:rFonts w:ascii="Arial" w:eastAsia="Times New Roman" w:hAnsi="Arial"/>
      <w:b/>
      <w:bCs/>
      <w:lang w:val="x-none" w:eastAsia="en-US"/>
    </w:rPr>
  </w:style>
  <w:style w:type="paragraph" w:styleId="BalloonText">
    <w:name w:val="Balloon Text"/>
    <w:basedOn w:val="Normal"/>
    <w:link w:val="BalloonTextChar"/>
    <w:rsid w:val="005330FE"/>
    <w:rPr>
      <w:rFonts w:ascii="Tahoma" w:hAnsi="Tahoma" w:cs="Times New Roman"/>
      <w:sz w:val="16"/>
      <w:szCs w:val="16"/>
      <w:lang w:val="x-none"/>
    </w:rPr>
  </w:style>
  <w:style w:type="character" w:customStyle="1" w:styleId="BalloonTextChar">
    <w:name w:val="Balloon Text Char"/>
    <w:basedOn w:val="DefaultParagraphFont"/>
    <w:link w:val="BalloonText"/>
    <w:rsid w:val="005330FE"/>
    <w:rPr>
      <w:rFonts w:ascii="Tahoma" w:eastAsia="Times New Roman" w:hAnsi="Tahoma"/>
      <w:sz w:val="16"/>
      <w:szCs w:val="16"/>
      <w:lang w:val="x-none" w:eastAsia="en-US"/>
    </w:rPr>
  </w:style>
  <w:style w:type="paragraph" w:customStyle="1" w:styleId="DfESOutNumbered">
    <w:name w:val="DfESOutNumbered"/>
    <w:basedOn w:val="Normal"/>
    <w:link w:val="DfESOutNumberedChar"/>
    <w:rsid w:val="005330FE"/>
    <w:pPr>
      <w:widowControl w:val="0"/>
      <w:numPr>
        <w:numId w:val="2"/>
      </w:numPr>
      <w:overflowPunct w:val="0"/>
      <w:autoSpaceDE w:val="0"/>
      <w:autoSpaceDN w:val="0"/>
      <w:adjustRightInd w:val="0"/>
      <w:spacing w:after="240"/>
      <w:textAlignment w:val="baseline"/>
    </w:pPr>
    <w:rPr>
      <w:rFonts w:cs="Times New Roman"/>
      <w:sz w:val="22"/>
      <w:szCs w:val="20"/>
      <w:lang w:val="x-none"/>
    </w:rPr>
  </w:style>
  <w:style w:type="character" w:customStyle="1" w:styleId="DfESOutNumberedChar">
    <w:name w:val="DfESOutNumbered Char"/>
    <w:link w:val="DfESOutNumbered"/>
    <w:locked/>
    <w:rsid w:val="005330FE"/>
    <w:rPr>
      <w:rFonts w:ascii="Arial" w:eastAsia="Times New Roman" w:hAnsi="Arial"/>
      <w:sz w:val="22"/>
      <w:lang w:val="x-none" w:eastAsia="en-US"/>
    </w:rPr>
  </w:style>
  <w:style w:type="table" w:styleId="TableGrid">
    <w:name w:val="Table Grid"/>
    <w:basedOn w:val="TableNormal"/>
    <w:uiPriority w:val="59"/>
    <w:rsid w:val="005330F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330FE"/>
    <w:pPr>
      <w:ind w:left="720"/>
    </w:pPr>
  </w:style>
  <w:style w:type="paragraph" w:customStyle="1" w:styleId="CharCharCharChar2">
    <w:name w:val="Char Char Char Char2"/>
    <w:basedOn w:val="Normal"/>
    <w:locked/>
    <w:rsid w:val="005330FE"/>
    <w:pPr>
      <w:spacing w:after="160" w:line="240" w:lineRule="exact"/>
    </w:pPr>
    <w:rPr>
      <w:rFonts w:ascii="Verdana" w:eastAsia="MS ??" w:hAnsi="Verdana" w:cs="Verdana"/>
      <w:sz w:val="20"/>
      <w:szCs w:val="20"/>
      <w:lang w:val="en-US"/>
    </w:rPr>
  </w:style>
  <w:style w:type="paragraph" w:styleId="PlainText">
    <w:name w:val="Plain Text"/>
    <w:basedOn w:val="Normal"/>
    <w:link w:val="PlainTextChar"/>
    <w:semiHidden/>
    <w:rsid w:val="005330FE"/>
    <w:rPr>
      <w:rFonts w:ascii="Calibri" w:eastAsia="Calibri" w:hAnsi="Calibri" w:cs="Times New Roman"/>
      <w:sz w:val="20"/>
      <w:szCs w:val="21"/>
      <w:lang w:val="x-none" w:eastAsia="x-none"/>
    </w:rPr>
  </w:style>
  <w:style w:type="character" w:customStyle="1" w:styleId="PlainTextChar">
    <w:name w:val="Plain Text Char"/>
    <w:basedOn w:val="DefaultParagraphFont"/>
    <w:link w:val="PlainText"/>
    <w:semiHidden/>
    <w:rsid w:val="005330FE"/>
    <w:rPr>
      <w:szCs w:val="21"/>
      <w:lang w:val="x-none" w:eastAsia="x-none"/>
    </w:rPr>
  </w:style>
  <w:style w:type="paragraph" w:customStyle="1" w:styleId="Default">
    <w:name w:val="Default"/>
    <w:rsid w:val="005330FE"/>
    <w:pPr>
      <w:autoSpaceDE w:val="0"/>
      <w:autoSpaceDN w:val="0"/>
      <w:adjustRightInd w:val="0"/>
    </w:pPr>
    <w:rPr>
      <w:rFonts w:ascii="Foundry Form Sans" w:eastAsia="Times New Roman" w:hAnsi="Foundry Form Sans" w:cs="Foundry Form Sans"/>
      <w:color w:val="000000"/>
      <w:sz w:val="24"/>
      <w:szCs w:val="24"/>
    </w:rPr>
  </w:style>
  <w:style w:type="paragraph" w:styleId="NormalWeb">
    <w:name w:val="Normal (Web)"/>
    <w:basedOn w:val="Normal"/>
    <w:uiPriority w:val="99"/>
    <w:semiHidden/>
    <w:unhideWhenUsed/>
    <w:rsid w:val="00E30332"/>
    <w:pPr>
      <w:spacing w:before="100" w:beforeAutospacing="1" w:after="100" w:afterAutospacing="1"/>
    </w:pPr>
    <w:rPr>
      <w:rFonts w:ascii="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32187">
      <w:bodyDiv w:val="1"/>
      <w:marLeft w:val="0"/>
      <w:marRight w:val="0"/>
      <w:marTop w:val="0"/>
      <w:marBottom w:val="0"/>
      <w:divBdr>
        <w:top w:val="none" w:sz="0" w:space="0" w:color="auto"/>
        <w:left w:val="none" w:sz="0" w:space="0" w:color="auto"/>
        <w:bottom w:val="none" w:sz="0" w:space="0" w:color="auto"/>
        <w:right w:val="none" w:sz="0" w:space="0" w:color="auto"/>
      </w:divBdr>
    </w:div>
    <w:div w:id="17437584">
      <w:bodyDiv w:val="1"/>
      <w:marLeft w:val="0"/>
      <w:marRight w:val="0"/>
      <w:marTop w:val="0"/>
      <w:marBottom w:val="0"/>
      <w:divBdr>
        <w:top w:val="none" w:sz="0" w:space="0" w:color="auto"/>
        <w:left w:val="none" w:sz="0" w:space="0" w:color="auto"/>
        <w:bottom w:val="none" w:sz="0" w:space="0" w:color="auto"/>
        <w:right w:val="none" w:sz="0" w:space="0" w:color="auto"/>
      </w:divBdr>
    </w:div>
    <w:div w:id="23293252">
      <w:bodyDiv w:val="1"/>
      <w:marLeft w:val="0"/>
      <w:marRight w:val="0"/>
      <w:marTop w:val="0"/>
      <w:marBottom w:val="0"/>
      <w:divBdr>
        <w:top w:val="none" w:sz="0" w:space="0" w:color="auto"/>
        <w:left w:val="none" w:sz="0" w:space="0" w:color="auto"/>
        <w:bottom w:val="none" w:sz="0" w:space="0" w:color="auto"/>
        <w:right w:val="none" w:sz="0" w:space="0" w:color="auto"/>
      </w:divBdr>
    </w:div>
    <w:div w:id="114057319">
      <w:bodyDiv w:val="1"/>
      <w:marLeft w:val="0"/>
      <w:marRight w:val="0"/>
      <w:marTop w:val="0"/>
      <w:marBottom w:val="0"/>
      <w:divBdr>
        <w:top w:val="none" w:sz="0" w:space="0" w:color="auto"/>
        <w:left w:val="none" w:sz="0" w:space="0" w:color="auto"/>
        <w:bottom w:val="none" w:sz="0" w:space="0" w:color="auto"/>
        <w:right w:val="none" w:sz="0" w:space="0" w:color="auto"/>
      </w:divBdr>
    </w:div>
    <w:div w:id="146870666">
      <w:bodyDiv w:val="1"/>
      <w:marLeft w:val="0"/>
      <w:marRight w:val="0"/>
      <w:marTop w:val="0"/>
      <w:marBottom w:val="0"/>
      <w:divBdr>
        <w:top w:val="none" w:sz="0" w:space="0" w:color="auto"/>
        <w:left w:val="none" w:sz="0" w:space="0" w:color="auto"/>
        <w:bottom w:val="none" w:sz="0" w:space="0" w:color="auto"/>
        <w:right w:val="none" w:sz="0" w:space="0" w:color="auto"/>
      </w:divBdr>
    </w:div>
    <w:div w:id="164783285">
      <w:bodyDiv w:val="1"/>
      <w:marLeft w:val="0"/>
      <w:marRight w:val="0"/>
      <w:marTop w:val="0"/>
      <w:marBottom w:val="0"/>
      <w:divBdr>
        <w:top w:val="none" w:sz="0" w:space="0" w:color="auto"/>
        <w:left w:val="none" w:sz="0" w:space="0" w:color="auto"/>
        <w:bottom w:val="none" w:sz="0" w:space="0" w:color="auto"/>
        <w:right w:val="none" w:sz="0" w:space="0" w:color="auto"/>
      </w:divBdr>
    </w:div>
    <w:div w:id="267548567">
      <w:bodyDiv w:val="1"/>
      <w:marLeft w:val="0"/>
      <w:marRight w:val="0"/>
      <w:marTop w:val="0"/>
      <w:marBottom w:val="0"/>
      <w:divBdr>
        <w:top w:val="none" w:sz="0" w:space="0" w:color="auto"/>
        <w:left w:val="none" w:sz="0" w:space="0" w:color="auto"/>
        <w:bottom w:val="none" w:sz="0" w:space="0" w:color="auto"/>
        <w:right w:val="none" w:sz="0" w:space="0" w:color="auto"/>
      </w:divBdr>
    </w:div>
    <w:div w:id="281770326">
      <w:bodyDiv w:val="1"/>
      <w:marLeft w:val="0"/>
      <w:marRight w:val="0"/>
      <w:marTop w:val="0"/>
      <w:marBottom w:val="0"/>
      <w:divBdr>
        <w:top w:val="none" w:sz="0" w:space="0" w:color="auto"/>
        <w:left w:val="none" w:sz="0" w:space="0" w:color="auto"/>
        <w:bottom w:val="none" w:sz="0" w:space="0" w:color="auto"/>
        <w:right w:val="none" w:sz="0" w:space="0" w:color="auto"/>
      </w:divBdr>
    </w:div>
    <w:div w:id="307129836">
      <w:bodyDiv w:val="1"/>
      <w:marLeft w:val="0"/>
      <w:marRight w:val="0"/>
      <w:marTop w:val="0"/>
      <w:marBottom w:val="0"/>
      <w:divBdr>
        <w:top w:val="none" w:sz="0" w:space="0" w:color="auto"/>
        <w:left w:val="none" w:sz="0" w:space="0" w:color="auto"/>
        <w:bottom w:val="none" w:sz="0" w:space="0" w:color="auto"/>
        <w:right w:val="none" w:sz="0" w:space="0" w:color="auto"/>
      </w:divBdr>
    </w:div>
    <w:div w:id="359821380">
      <w:bodyDiv w:val="1"/>
      <w:marLeft w:val="0"/>
      <w:marRight w:val="0"/>
      <w:marTop w:val="0"/>
      <w:marBottom w:val="0"/>
      <w:divBdr>
        <w:top w:val="none" w:sz="0" w:space="0" w:color="auto"/>
        <w:left w:val="none" w:sz="0" w:space="0" w:color="auto"/>
        <w:bottom w:val="none" w:sz="0" w:space="0" w:color="auto"/>
        <w:right w:val="none" w:sz="0" w:space="0" w:color="auto"/>
      </w:divBdr>
    </w:div>
    <w:div w:id="373893922">
      <w:bodyDiv w:val="1"/>
      <w:marLeft w:val="0"/>
      <w:marRight w:val="0"/>
      <w:marTop w:val="0"/>
      <w:marBottom w:val="0"/>
      <w:divBdr>
        <w:top w:val="none" w:sz="0" w:space="0" w:color="auto"/>
        <w:left w:val="none" w:sz="0" w:space="0" w:color="auto"/>
        <w:bottom w:val="none" w:sz="0" w:space="0" w:color="auto"/>
        <w:right w:val="none" w:sz="0" w:space="0" w:color="auto"/>
      </w:divBdr>
    </w:div>
    <w:div w:id="412822616">
      <w:bodyDiv w:val="1"/>
      <w:marLeft w:val="0"/>
      <w:marRight w:val="0"/>
      <w:marTop w:val="0"/>
      <w:marBottom w:val="0"/>
      <w:divBdr>
        <w:top w:val="none" w:sz="0" w:space="0" w:color="auto"/>
        <w:left w:val="none" w:sz="0" w:space="0" w:color="auto"/>
        <w:bottom w:val="none" w:sz="0" w:space="0" w:color="auto"/>
        <w:right w:val="none" w:sz="0" w:space="0" w:color="auto"/>
      </w:divBdr>
    </w:div>
    <w:div w:id="425157020">
      <w:bodyDiv w:val="1"/>
      <w:marLeft w:val="0"/>
      <w:marRight w:val="0"/>
      <w:marTop w:val="0"/>
      <w:marBottom w:val="0"/>
      <w:divBdr>
        <w:top w:val="none" w:sz="0" w:space="0" w:color="auto"/>
        <w:left w:val="none" w:sz="0" w:space="0" w:color="auto"/>
        <w:bottom w:val="none" w:sz="0" w:space="0" w:color="auto"/>
        <w:right w:val="none" w:sz="0" w:space="0" w:color="auto"/>
      </w:divBdr>
    </w:div>
    <w:div w:id="438526349">
      <w:bodyDiv w:val="1"/>
      <w:marLeft w:val="0"/>
      <w:marRight w:val="0"/>
      <w:marTop w:val="0"/>
      <w:marBottom w:val="0"/>
      <w:divBdr>
        <w:top w:val="none" w:sz="0" w:space="0" w:color="auto"/>
        <w:left w:val="none" w:sz="0" w:space="0" w:color="auto"/>
        <w:bottom w:val="none" w:sz="0" w:space="0" w:color="auto"/>
        <w:right w:val="none" w:sz="0" w:space="0" w:color="auto"/>
      </w:divBdr>
    </w:div>
    <w:div w:id="456215516">
      <w:bodyDiv w:val="1"/>
      <w:marLeft w:val="0"/>
      <w:marRight w:val="0"/>
      <w:marTop w:val="0"/>
      <w:marBottom w:val="0"/>
      <w:divBdr>
        <w:top w:val="none" w:sz="0" w:space="0" w:color="auto"/>
        <w:left w:val="none" w:sz="0" w:space="0" w:color="auto"/>
        <w:bottom w:val="none" w:sz="0" w:space="0" w:color="auto"/>
        <w:right w:val="none" w:sz="0" w:space="0" w:color="auto"/>
      </w:divBdr>
    </w:div>
    <w:div w:id="484861395">
      <w:bodyDiv w:val="1"/>
      <w:marLeft w:val="0"/>
      <w:marRight w:val="0"/>
      <w:marTop w:val="0"/>
      <w:marBottom w:val="0"/>
      <w:divBdr>
        <w:top w:val="none" w:sz="0" w:space="0" w:color="auto"/>
        <w:left w:val="none" w:sz="0" w:space="0" w:color="auto"/>
        <w:bottom w:val="none" w:sz="0" w:space="0" w:color="auto"/>
        <w:right w:val="none" w:sz="0" w:space="0" w:color="auto"/>
      </w:divBdr>
    </w:div>
    <w:div w:id="487670973">
      <w:bodyDiv w:val="1"/>
      <w:marLeft w:val="0"/>
      <w:marRight w:val="0"/>
      <w:marTop w:val="0"/>
      <w:marBottom w:val="0"/>
      <w:divBdr>
        <w:top w:val="none" w:sz="0" w:space="0" w:color="auto"/>
        <w:left w:val="none" w:sz="0" w:space="0" w:color="auto"/>
        <w:bottom w:val="none" w:sz="0" w:space="0" w:color="auto"/>
        <w:right w:val="none" w:sz="0" w:space="0" w:color="auto"/>
      </w:divBdr>
    </w:div>
    <w:div w:id="491913635">
      <w:bodyDiv w:val="1"/>
      <w:marLeft w:val="0"/>
      <w:marRight w:val="0"/>
      <w:marTop w:val="0"/>
      <w:marBottom w:val="0"/>
      <w:divBdr>
        <w:top w:val="none" w:sz="0" w:space="0" w:color="auto"/>
        <w:left w:val="none" w:sz="0" w:space="0" w:color="auto"/>
        <w:bottom w:val="none" w:sz="0" w:space="0" w:color="auto"/>
        <w:right w:val="none" w:sz="0" w:space="0" w:color="auto"/>
      </w:divBdr>
    </w:div>
    <w:div w:id="502890026">
      <w:bodyDiv w:val="1"/>
      <w:marLeft w:val="0"/>
      <w:marRight w:val="0"/>
      <w:marTop w:val="0"/>
      <w:marBottom w:val="0"/>
      <w:divBdr>
        <w:top w:val="none" w:sz="0" w:space="0" w:color="auto"/>
        <w:left w:val="none" w:sz="0" w:space="0" w:color="auto"/>
        <w:bottom w:val="none" w:sz="0" w:space="0" w:color="auto"/>
        <w:right w:val="none" w:sz="0" w:space="0" w:color="auto"/>
      </w:divBdr>
    </w:div>
    <w:div w:id="517743482">
      <w:bodyDiv w:val="1"/>
      <w:marLeft w:val="0"/>
      <w:marRight w:val="0"/>
      <w:marTop w:val="0"/>
      <w:marBottom w:val="0"/>
      <w:divBdr>
        <w:top w:val="none" w:sz="0" w:space="0" w:color="auto"/>
        <w:left w:val="none" w:sz="0" w:space="0" w:color="auto"/>
        <w:bottom w:val="none" w:sz="0" w:space="0" w:color="auto"/>
        <w:right w:val="none" w:sz="0" w:space="0" w:color="auto"/>
      </w:divBdr>
    </w:div>
    <w:div w:id="584071135">
      <w:bodyDiv w:val="1"/>
      <w:marLeft w:val="0"/>
      <w:marRight w:val="0"/>
      <w:marTop w:val="0"/>
      <w:marBottom w:val="0"/>
      <w:divBdr>
        <w:top w:val="none" w:sz="0" w:space="0" w:color="auto"/>
        <w:left w:val="none" w:sz="0" w:space="0" w:color="auto"/>
        <w:bottom w:val="none" w:sz="0" w:space="0" w:color="auto"/>
        <w:right w:val="none" w:sz="0" w:space="0" w:color="auto"/>
      </w:divBdr>
    </w:div>
    <w:div w:id="586501293">
      <w:bodyDiv w:val="1"/>
      <w:marLeft w:val="0"/>
      <w:marRight w:val="0"/>
      <w:marTop w:val="0"/>
      <w:marBottom w:val="0"/>
      <w:divBdr>
        <w:top w:val="none" w:sz="0" w:space="0" w:color="auto"/>
        <w:left w:val="none" w:sz="0" w:space="0" w:color="auto"/>
        <w:bottom w:val="none" w:sz="0" w:space="0" w:color="auto"/>
        <w:right w:val="none" w:sz="0" w:space="0" w:color="auto"/>
      </w:divBdr>
    </w:div>
    <w:div w:id="598562920">
      <w:bodyDiv w:val="1"/>
      <w:marLeft w:val="0"/>
      <w:marRight w:val="0"/>
      <w:marTop w:val="0"/>
      <w:marBottom w:val="0"/>
      <w:divBdr>
        <w:top w:val="none" w:sz="0" w:space="0" w:color="auto"/>
        <w:left w:val="none" w:sz="0" w:space="0" w:color="auto"/>
        <w:bottom w:val="none" w:sz="0" w:space="0" w:color="auto"/>
        <w:right w:val="none" w:sz="0" w:space="0" w:color="auto"/>
      </w:divBdr>
    </w:div>
    <w:div w:id="633634774">
      <w:bodyDiv w:val="1"/>
      <w:marLeft w:val="0"/>
      <w:marRight w:val="0"/>
      <w:marTop w:val="0"/>
      <w:marBottom w:val="0"/>
      <w:divBdr>
        <w:top w:val="none" w:sz="0" w:space="0" w:color="auto"/>
        <w:left w:val="none" w:sz="0" w:space="0" w:color="auto"/>
        <w:bottom w:val="none" w:sz="0" w:space="0" w:color="auto"/>
        <w:right w:val="none" w:sz="0" w:space="0" w:color="auto"/>
      </w:divBdr>
    </w:div>
    <w:div w:id="650981813">
      <w:bodyDiv w:val="1"/>
      <w:marLeft w:val="0"/>
      <w:marRight w:val="0"/>
      <w:marTop w:val="0"/>
      <w:marBottom w:val="0"/>
      <w:divBdr>
        <w:top w:val="none" w:sz="0" w:space="0" w:color="auto"/>
        <w:left w:val="none" w:sz="0" w:space="0" w:color="auto"/>
        <w:bottom w:val="none" w:sz="0" w:space="0" w:color="auto"/>
        <w:right w:val="none" w:sz="0" w:space="0" w:color="auto"/>
      </w:divBdr>
    </w:div>
    <w:div w:id="704646912">
      <w:bodyDiv w:val="1"/>
      <w:marLeft w:val="0"/>
      <w:marRight w:val="0"/>
      <w:marTop w:val="0"/>
      <w:marBottom w:val="0"/>
      <w:divBdr>
        <w:top w:val="none" w:sz="0" w:space="0" w:color="auto"/>
        <w:left w:val="none" w:sz="0" w:space="0" w:color="auto"/>
        <w:bottom w:val="none" w:sz="0" w:space="0" w:color="auto"/>
        <w:right w:val="none" w:sz="0" w:space="0" w:color="auto"/>
      </w:divBdr>
    </w:div>
    <w:div w:id="706756360">
      <w:bodyDiv w:val="1"/>
      <w:marLeft w:val="0"/>
      <w:marRight w:val="0"/>
      <w:marTop w:val="0"/>
      <w:marBottom w:val="0"/>
      <w:divBdr>
        <w:top w:val="none" w:sz="0" w:space="0" w:color="auto"/>
        <w:left w:val="none" w:sz="0" w:space="0" w:color="auto"/>
        <w:bottom w:val="none" w:sz="0" w:space="0" w:color="auto"/>
        <w:right w:val="none" w:sz="0" w:space="0" w:color="auto"/>
      </w:divBdr>
    </w:div>
    <w:div w:id="711003521">
      <w:bodyDiv w:val="1"/>
      <w:marLeft w:val="0"/>
      <w:marRight w:val="0"/>
      <w:marTop w:val="0"/>
      <w:marBottom w:val="0"/>
      <w:divBdr>
        <w:top w:val="none" w:sz="0" w:space="0" w:color="auto"/>
        <w:left w:val="none" w:sz="0" w:space="0" w:color="auto"/>
        <w:bottom w:val="none" w:sz="0" w:space="0" w:color="auto"/>
        <w:right w:val="none" w:sz="0" w:space="0" w:color="auto"/>
      </w:divBdr>
    </w:div>
    <w:div w:id="735015332">
      <w:bodyDiv w:val="1"/>
      <w:marLeft w:val="0"/>
      <w:marRight w:val="0"/>
      <w:marTop w:val="0"/>
      <w:marBottom w:val="0"/>
      <w:divBdr>
        <w:top w:val="none" w:sz="0" w:space="0" w:color="auto"/>
        <w:left w:val="none" w:sz="0" w:space="0" w:color="auto"/>
        <w:bottom w:val="none" w:sz="0" w:space="0" w:color="auto"/>
        <w:right w:val="none" w:sz="0" w:space="0" w:color="auto"/>
      </w:divBdr>
    </w:div>
    <w:div w:id="751854832">
      <w:bodyDiv w:val="1"/>
      <w:marLeft w:val="0"/>
      <w:marRight w:val="0"/>
      <w:marTop w:val="0"/>
      <w:marBottom w:val="0"/>
      <w:divBdr>
        <w:top w:val="none" w:sz="0" w:space="0" w:color="auto"/>
        <w:left w:val="none" w:sz="0" w:space="0" w:color="auto"/>
        <w:bottom w:val="none" w:sz="0" w:space="0" w:color="auto"/>
        <w:right w:val="none" w:sz="0" w:space="0" w:color="auto"/>
      </w:divBdr>
    </w:div>
    <w:div w:id="761797788">
      <w:bodyDiv w:val="1"/>
      <w:marLeft w:val="0"/>
      <w:marRight w:val="0"/>
      <w:marTop w:val="0"/>
      <w:marBottom w:val="0"/>
      <w:divBdr>
        <w:top w:val="none" w:sz="0" w:space="0" w:color="auto"/>
        <w:left w:val="none" w:sz="0" w:space="0" w:color="auto"/>
        <w:bottom w:val="none" w:sz="0" w:space="0" w:color="auto"/>
        <w:right w:val="none" w:sz="0" w:space="0" w:color="auto"/>
      </w:divBdr>
    </w:div>
    <w:div w:id="766658129">
      <w:bodyDiv w:val="1"/>
      <w:marLeft w:val="0"/>
      <w:marRight w:val="0"/>
      <w:marTop w:val="0"/>
      <w:marBottom w:val="0"/>
      <w:divBdr>
        <w:top w:val="none" w:sz="0" w:space="0" w:color="auto"/>
        <w:left w:val="none" w:sz="0" w:space="0" w:color="auto"/>
        <w:bottom w:val="none" w:sz="0" w:space="0" w:color="auto"/>
        <w:right w:val="none" w:sz="0" w:space="0" w:color="auto"/>
      </w:divBdr>
    </w:div>
    <w:div w:id="776633515">
      <w:bodyDiv w:val="1"/>
      <w:marLeft w:val="0"/>
      <w:marRight w:val="0"/>
      <w:marTop w:val="0"/>
      <w:marBottom w:val="0"/>
      <w:divBdr>
        <w:top w:val="none" w:sz="0" w:space="0" w:color="auto"/>
        <w:left w:val="none" w:sz="0" w:space="0" w:color="auto"/>
        <w:bottom w:val="none" w:sz="0" w:space="0" w:color="auto"/>
        <w:right w:val="none" w:sz="0" w:space="0" w:color="auto"/>
      </w:divBdr>
    </w:div>
    <w:div w:id="784075931">
      <w:bodyDiv w:val="1"/>
      <w:marLeft w:val="0"/>
      <w:marRight w:val="0"/>
      <w:marTop w:val="0"/>
      <w:marBottom w:val="0"/>
      <w:divBdr>
        <w:top w:val="none" w:sz="0" w:space="0" w:color="auto"/>
        <w:left w:val="none" w:sz="0" w:space="0" w:color="auto"/>
        <w:bottom w:val="none" w:sz="0" w:space="0" w:color="auto"/>
        <w:right w:val="none" w:sz="0" w:space="0" w:color="auto"/>
      </w:divBdr>
    </w:div>
    <w:div w:id="787895374">
      <w:bodyDiv w:val="1"/>
      <w:marLeft w:val="0"/>
      <w:marRight w:val="0"/>
      <w:marTop w:val="0"/>
      <w:marBottom w:val="0"/>
      <w:divBdr>
        <w:top w:val="none" w:sz="0" w:space="0" w:color="auto"/>
        <w:left w:val="none" w:sz="0" w:space="0" w:color="auto"/>
        <w:bottom w:val="none" w:sz="0" w:space="0" w:color="auto"/>
        <w:right w:val="none" w:sz="0" w:space="0" w:color="auto"/>
      </w:divBdr>
      <w:divsChild>
        <w:div w:id="682051746">
          <w:marLeft w:val="0"/>
          <w:marRight w:val="0"/>
          <w:marTop w:val="0"/>
          <w:marBottom w:val="0"/>
          <w:divBdr>
            <w:top w:val="none" w:sz="0" w:space="0" w:color="auto"/>
            <w:left w:val="none" w:sz="0" w:space="0" w:color="auto"/>
            <w:bottom w:val="none" w:sz="0" w:space="0" w:color="auto"/>
            <w:right w:val="none" w:sz="0" w:space="0" w:color="auto"/>
          </w:divBdr>
        </w:div>
        <w:div w:id="152766212">
          <w:marLeft w:val="0"/>
          <w:marRight w:val="0"/>
          <w:marTop w:val="0"/>
          <w:marBottom w:val="0"/>
          <w:divBdr>
            <w:top w:val="none" w:sz="0" w:space="0" w:color="auto"/>
            <w:left w:val="none" w:sz="0" w:space="0" w:color="auto"/>
            <w:bottom w:val="none" w:sz="0" w:space="0" w:color="auto"/>
            <w:right w:val="none" w:sz="0" w:space="0" w:color="auto"/>
          </w:divBdr>
          <w:divsChild>
            <w:div w:id="138405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542189">
      <w:bodyDiv w:val="1"/>
      <w:marLeft w:val="0"/>
      <w:marRight w:val="0"/>
      <w:marTop w:val="0"/>
      <w:marBottom w:val="0"/>
      <w:divBdr>
        <w:top w:val="none" w:sz="0" w:space="0" w:color="auto"/>
        <w:left w:val="none" w:sz="0" w:space="0" w:color="auto"/>
        <w:bottom w:val="none" w:sz="0" w:space="0" w:color="auto"/>
        <w:right w:val="none" w:sz="0" w:space="0" w:color="auto"/>
      </w:divBdr>
    </w:div>
    <w:div w:id="860435214">
      <w:bodyDiv w:val="1"/>
      <w:marLeft w:val="0"/>
      <w:marRight w:val="0"/>
      <w:marTop w:val="0"/>
      <w:marBottom w:val="0"/>
      <w:divBdr>
        <w:top w:val="none" w:sz="0" w:space="0" w:color="auto"/>
        <w:left w:val="none" w:sz="0" w:space="0" w:color="auto"/>
        <w:bottom w:val="none" w:sz="0" w:space="0" w:color="auto"/>
        <w:right w:val="none" w:sz="0" w:space="0" w:color="auto"/>
      </w:divBdr>
    </w:div>
    <w:div w:id="867377474">
      <w:bodyDiv w:val="1"/>
      <w:marLeft w:val="0"/>
      <w:marRight w:val="0"/>
      <w:marTop w:val="0"/>
      <w:marBottom w:val="0"/>
      <w:divBdr>
        <w:top w:val="none" w:sz="0" w:space="0" w:color="auto"/>
        <w:left w:val="none" w:sz="0" w:space="0" w:color="auto"/>
        <w:bottom w:val="none" w:sz="0" w:space="0" w:color="auto"/>
        <w:right w:val="none" w:sz="0" w:space="0" w:color="auto"/>
      </w:divBdr>
    </w:div>
    <w:div w:id="869991628">
      <w:bodyDiv w:val="1"/>
      <w:marLeft w:val="0"/>
      <w:marRight w:val="0"/>
      <w:marTop w:val="0"/>
      <w:marBottom w:val="0"/>
      <w:divBdr>
        <w:top w:val="none" w:sz="0" w:space="0" w:color="auto"/>
        <w:left w:val="none" w:sz="0" w:space="0" w:color="auto"/>
        <w:bottom w:val="none" w:sz="0" w:space="0" w:color="auto"/>
        <w:right w:val="none" w:sz="0" w:space="0" w:color="auto"/>
      </w:divBdr>
    </w:div>
    <w:div w:id="885871420">
      <w:bodyDiv w:val="1"/>
      <w:marLeft w:val="0"/>
      <w:marRight w:val="0"/>
      <w:marTop w:val="0"/>
      <w:marBottom w:val="0"/>
      <w:divBdr>
        <w:top w:val="none" w:sz="0" w:space="0" w:color="auto"/>
        <w:left w:val="none" w:sz="0" w:space="0" w:color="auto"/>
        <w:bottom w:val="none" w:sz="0" w:space="0" w:color="auto"/>
        <w:right w:val="none" w:sz="0" w:space="0" w:color="auto"/>
      </w:divBdr>
    </w:div>
    <w:div w:id="923302997">
      <w:bodyDiv w:val="1"/>
      <w:marLeft w:val="0"/>
      <w:marRight w:val="0"/>
      <w:marTop w:val="0"/>
      <w:marBottom w:val="0"/>
      <w:divBdr>
        <w:top w:val="none" w:sz="0" w:space="0" w:color="auto"/>
        <w:left w:val="none" w:sz="0" w:space="0" w:color="auto"/>
        <w:bottom w:val="none" w:sz="0" w:space="0" w:color="auto"/>
        <w:right w:val="none" w:sz="0" w:space="0" w:color="auto"/>
      </w:divBdr>
    </w:div>
    <w:div w:id="923535729">
      <w:bodyDiv w:val="1"/>
      <w:marLeft w:val="0"/>
      <w:marRight w:val="0"/>
      <w:marTop w:val="0"/>
      <w:marBottom w:val="0"/>
      <w:divBdr>
        <w:top w:val="none" w:sz="0" w:space="0" w:color="auto"/>
        <w:left w:val="none" w:sz="0" w:space="0" w:color="auto"/>
        <w:bottom w:val="none" w:sz="0" w:space="0" w:color="auto"/>
        <w:right w:val="none" w:sz="0" w:space="0" w:color="auto"/>
      </w:divBdr>
    </w:div>
    <w:div w:id="924537195">
      <w:bodyDiv w:val="1"/>
      <w:marLeft w:val="0"/>
      <w:marRight w:val="0"/>
      <w:marTop w:val="0"/>
      <w:marBottom w:val="0"/>
      <w:divBdr>
        <w:top w:val="none" w:sz="0" w:space="0" w:color="auto"/>
        <w:left w:val="none" w:sz="0" w:space="0" w:color="auto"/>
        <w:bottom w:val="none" w:sz="0" w:space="0" w:color="auto"/>
        <w:right w:val="none" w:sz="0" w:space="0" w:color="auto"/>
      </w:divBdr>
    </w:div>
    <w:div w:id="935552927">
      <w:bodyDiv w:val="1"/>
      <w:marLeft w:val="0"/>
      <w:marRight w:val="0"/>
      <w:marTop w:val="0"/>
      <w:marBottom w:val="0"/>
      <w:divBdr>
        <w:top w:val="none" w:sz="0" w:space="0" w:color="auto"/>
        <w:left w:val="none" w:sz="0" w:space="0" w:color="auto"/>
        <w:bottom w:val="none" w:sz="0" w:space="0" w:color="auto"/>
        <w:right w:val="none" w:sz="0" w:space="0" w:color="auto"/>
      </w:divBdr>
    </w:div>
    <w:div w:id="976568440">
      <w:bodyDiv w:val="1"/>
      <w:marLeft w:val="0"/>
      <w:marRight w:val="0"/>
      <w:marTop w:val="0"/>
      <w:marBottom w:val="0"/>
      <w:divBdr>
        <w:top w:val="none" w:sz="0" w:space="0" w:color="auto"/>
        <w:left w:val="none" w:sz="0" w:space="0" w:color="auto"/>
        <w:bottom w:val="none" w:sz="0" w:space="0" w:color="auto"/>
        <w:right w:val="none" w:sz="0" w:space="0" w:color="auto"/>
      </w:divBdr>
    </w:div>
    <w:div w:id="981812996">
      <w:bodyDiv w:val="1"/>
      <w:marLeft w:val="0"/>
      <w:marRight w:val="0"/>
      <w:marTop w:val="0"/>
      <w:marBottom w:val="0"/>
      <w:divBdr>
        <w:top w:val="none" w:sz="0" w:space="0" w:color="auto"/>
        <w:left w:val="none" w:sz="0" w:space="0" w:color="auto"/>
        <w:bottom w:val="none" w:sz="0" w:space="0" w:color="auto"/>
        <w:right w:val="none" w:sz="0" w:space="0" w:color="auto"/>
      </w:divBdr>
    </w:div>
    <w:div w:id="1020202678">
      <w:bodyDiv w:val="1"/>
      <w:marLeft w:val="0"/>
      <w:marRight w:val="0"/>
      <w:marTop w:val="0"/>
      <w:marBottom w:val="0"/>
      <w:divBdr>
        <w:top w:val="none" w:sz="0" w:space="0" w:color="auto"/>
        <w:left w:val="none" w:sz="0" w:space="0" w:color="auto"/>
        <w:bottom w:val="none" w:sz="0" w:space="0" w:color="auto"/>
        <w:right w:val="none" w:sz="0" w:space="0" w:color="auto"/>
      </w:divBdr>
    </w:div>
    <w:div w:id="1031760161">
      <w:bodyDiv w:val="1"/>
      <w:marLeft w:val="0"/>
      <w:marRight w:val="0"/>
      <w:marTop w:val="0"/>
      <w:marBottom w:val="0"/>
      <w:divBdr>
        <w:top w:val="none" w:sz="0" w:space="0" w:color="auto"/>
        <w:left w:val="none" w:sz="0" w:space="0" w:color="auto"/>
        <w:bottom w:val="none" w:sz="0" w:space="0" w:color="auto"/>
        <w:right w:val="none" w:sz="0" w:space="0" w:color="auto"/>
      </w:divBdr>
    </w:div>
    <w:div w:id="1056781855">
      <w:bodyDiv w:val="1"/>
      <w:marLeft w:val="0"/>
      <w:marRight w:val="0"/>
      <w:marTop w:val="0"/>
      <w:marBottom w:val="0"/>
      <w:divBdr>
        <w:top w:val="none" w:sz="0" w:space="0" w:color="auto"/>
        <w:left w:val="none" w:sz="0" w:space="0" w:color="auto"/>
        <w:bottom w:val="none" w:sz="0" w:space="0" w:color="auto"/>
        <w:right w:val="none" w:sz="0" w:space="0" w:color="auto"/>
      </w:divBdr>
    </w:div>
    <w:div w:id="1060326738">
      <w:bodyDiv w:val="1"/>
      <w:marLeft w:val="0"/>
      <w:marRight w:val="0"/>
      <w:marTop w:val="0"/>
      <w:marBottom w:val="0"/>
      <w:divBdr>
        <w:top w:val="none" w:sz="0" w:space="0" w:color="auto"/>
        <w:left w:val="none" w:sz="0" w:space="0" w:color="auto"/>
        <w:bottom w:val="none" w:sz="0" w:space="0" w:color="auto"/>
        <w:right w:val="none" w:sz="0" w:space="0" w:color="auto"/>
      </w:divBdr>
    </w:div>
    <w:div w:id="1112869456">
      <w:bodyDiv w:val="1"/>
      <w:marLeft w:val="0"/>
      <w:marRight w:val="0"/>
      <w:marTop w:val="0"/>
      <w:marBottom w:val="0"/>
      <w:divBdr>
        <w:top w:val="none" w:sz="0" w:space="0" w:color="auto"/>
        <w:left w:val="none" w:sz="0" w:space="0" w:color="auto"/>
        <w:bottom w:val="none" w:sz="0" w:space="0" w:color="auto"/>
        <w:right w:val="none" w:sz="0" w:space="0" w:color="auto"/>
      </w:divBdr>
    </w:div>
    <w:div w:id="1125194223">
      <w:bodyDiv w:val="1"/>
      <w:marLeft w:val="0"/>
      <w:marRight w:val="0"/>
      <w:marTop w:val="0"/>
      <w:marBottom w:val="0"/>
      <w:divBdr>
        <w:top w:val="none" w:sz="0" w:space="0" w:color="auto"/>
        <w:left w:val="none" w:sz="0" w:space="0" w:color="auto"/>
        <w:bottom w:val="none" w:sz="0" w:space="0" w:color="auto"/>
        <w:right w:val="none" w:sz="0" w:space="0" w:color="auto"/>
      </w:divBdr>
    </w:div>
    <w:div w:id="1140420882">
      <w:bodyDiv w:val="1"/>
      <w:marLeft w:val="0"/>
      <w:marRight w:val="0"/>
      <w:marTop w:val="0"/>
      <w:marBottom w:val="0"/>
      <w:divBdr>
        <w:top w:val="none" w:sz="0" w:space="0" w:color="auto"/>
        <w:left w:val="none" w:sz="0" w:space="0" w:color="auto"/>
        <w:bottom w:val="none" w:sz="0" w:space="0" w:color="auto"/>
        <w:right w:val="none" w:sz="0" w:space="0" w:color="auto"/>
      </w:divBdr>
    </w:div>
    <w:div w:id="1178732680">
      <w:bodyDiv w:val="1"/>
      <w:marLeft w:val="0"/>
      <w:marRight w:val="0"/>
      <w:marTop w:val="0"/>
      <w:marBottom w:val="0"/>
      <w:divBdr>
        <w:top w:val="none" w:sz="0" w:space="0" w:color="auto"/>
        <w:left w:val="none" w:sz="0" w:space="0" w:color="auto"/>
        <w:bottom w:val="none" w:sz="0" w:space="0" w:color="auto"/>
        <w:right w:val="none" w:sz="0" w:space="0" w:color="auto"/>
      </w:divBdr>
    </w:div>
    <w:div w:id="1179999385">
      <w:bodyDiv w:val="1"/>
      <w:marLeft w:val="0"/>
      <w:marRight w:val="0"/>
      <w:marTop w:val="0"/>
      <w:marBottom w:val="0"/>
      <w:divBdr>
        <w:top w:val="none" w:sz="0" w:space="0" w:color="auto"/>
        <w:left w:val="none" w:sz="0" w:space="0" w:color="auto"/>
        <w:bottom w:val="none" w:sz="0" w:space="0" w:color="auto"/>
        <w:right w:val="none" w:sz="0" w:space="0" w:color="auto"/>
      </w:divBdr>
    </w:div>
    <w:div w:id="1201165992">
      <w:bodyDiv w:val="1"/>
      <w:marLeft w:val="0"/>
      <w:marRight w:val="0"/>
      <w:marTop w:val="0"/>
      <w:marBottom w:val="0"/>
      <w:divBdr>
        <w:top w:val="none" w:sz="0" w:space="0" w:color="auto"/>
        <w:left w:val="none" w:sz="0" w:space="0" w:color="auto"/>
        <w:bottom w:val="none" w:sz="0" w:space="0" w:color="auto"/>
        <w:right w:val="none" w:sz="0" w:space="0" w:color="auto"/>
      </w:divBdr>
    </w:div>
    <w:div w:id="1216698121">
      <w:bodyDiv w:val="1"/>
      <w:marLeft w:val="0"/>
      <w:marRight w:val="0"/>
      <w:marTop w:val="0"/>
      <w:marBottom w:val="0"/>
      <w:divBdr>
        <w:top w:val="none" w:sz="0" w:space="0" w:color="auto"/>
        <w:left w:val="none" w:sz="0" w:space="0" w:color="auto"/>
        <w:bottom w:val="none" w:sz="0" w:space="0" w:color="auto"/>
        <w:right w:val="none" w:sz="0" w:space="0" w:color="auto"/>
      </w:divBdr>
    </w:div>
    <w:div w:id="1264876146">
      <w:bodyDiv w:val="1"/>
      <w:marLeft w:val="0"/>
      <w:marRight w:val="0"/>
      <w:marTop w:val="0"/>
      <w:marBottom w:val="0"/>
      <w:divBdr>
        <w:top w:val="none" w:sz="0" w:space="0" w:color="auto"/>
        <w:left w:val="none" w:sz="0" w:space="0" w:color="auto"/>
        <w:bottom w:val="none" w:sz="0" w:space="0" w:color="auto"/>
        <w:right w:val="none" w:sz="0" w:space="0" w:color="auto"/>
      </w:divBdr>
    </w:div>
    <w:div w:id="1282422191">
      <w:bodyDiv w:val="1"/>
      <w:marLeft w:val="0"/>
      <w:marRight w:val="0"/>
      <w:marTop w:val="0"/>
      <w:marBottom w:val="0"/>
      <w:divBdr>
        <w:top w:val="none" w:sz="0" w:space="0" w:color="auto"/>
        <w:left w:val="none" w:sz="0" w:space="0" w:color="auto"/>
        <w:bottom w:val="none" w:sz="0" w:space="0" w:color="auto"/>
        <w:right w:val="none" w:sz="0" w:space="0" w:color="auto"/>
      </w:divBdr>
    </w:div>
    <w:div w:id="1337197934">
      <w:bodyDiv w:val="1"/>
      <w:marLeft w:val="0"/>
      <w:marRight w:val="0"/>
      <w:marTop w:val="0"/>
      <w:marBottom w:val="0"/>
      <w:divBdr>
        <w:top w:val="none" w:sz="0" w:space="0" w:color="auto"/>
        <w:left w:val="none" w:sz="0" w:space="0" w:color="auto"/>
        <w:bottom w:val="none" w:sz="0" w:space="0" w:color="auto"/>
        <w:right w:val="none" w:sz="0" w:space="0" w:color="auto"/>
      </w:divBdr>
    </w:div>
    <w:div w:id="1343899240">
      <w:bodyDiv w:val="1"/>
      <w:marLeft w:val="0"/>
      <w:marRight w:val="0"/>
      <w:marTop w:val="0"/>
      <w:marBottom w:val="0"/>
      <w:divBdr>
        <w:top w:val="none" w:sz="0" w:space="0" w:color="auto"/>
        <w:left w:val="none" w:sz="0" w:space="0" w:color="auto"/>
        <w:bottom w:val="none" w:sz="0" w:space="0" w:color="auto"/>
        <w:right w:val="none" w:sz="0" w:space="0" w:color="auto"/>
      </w:divBdr>
    </w:div>
    <w:div w:id="1398675157">
      <w:bodyDiv w:val="1"/>
      <w:marLeft w:val="0"/>
      <w:marRight w:val="0"/>
      <w:marTop w:val="0"/>
      <w:marBottom w:val="0"/>
      <w:divBdr>
        <w:top w:val="none" w:sz="0" w:space="0" w:color="auto"/>
        <w:left w:val="none" w:sz="0" w:space="0" w:color="auto"/>
        <w:bottom w:val="none" w:sz="0" w:space="0" w:color="auto"/>
        <w:right w:val="none" w:sz="0" w:space="0" w:color="auto"/>
      </w:divBdr>
    </w:div>
    <w:div w:id="1408963009">
      <w:bodyDiv w:val="1"/>
      <w:marLeft w:val="0"/>
      <w:marRight w:val="0"/>
      <w:marTop w:val="0"/>
      <w:marBottom w:val="0"/>
      <w:divBdr>
        <w:top w:val="none" w:sz="0" w:space="0" w:color="auto"/>
        <w:left w:val="none" w:sz="0" w:space="0" w:color="auto"/>
        <w:bottom w:val="none" w:sz="0" w:space="0" w:color="auto"/>
        <w:right w:val="none" w:sz="0" w:space="0" w:color="auto"/>
      </w:divBdr>
    </w:div>
    <w:div w:id="1409495830">
      <w:bodyDiv w:val="1"/>
      <w:marLeft w:val="0"/>
      <w:marRight w:val="0"/>
      <w:marTop w:val="0"/>
      <w:marBottom w:val="0"/>
      <w:divBdr>
        <w:top w:val="none" w:sz="0" w:space="0" w:color="auto"/>
        <w:left w:val="none" w:sz="0" w:space="0" w:color="auto"/>
        <w:bottom w:val="none" w:sz="0" w:space="0" w:color="auto"/>
        <w:right w:val="none" w:sz="0" w:space="0" w:color="auto"/>
      </w:divBdr>
    </w:div>
    <w:div w:id="1435789265">
      <w:bodyDiv w:val="1"/>
      <w:marLeft w:val="0"/>
      <w:marRight w:val="0"/>
      <w:marTop w:val="0"/>
      <w:marBottom w:val="0"/>
      <w:divBdr>
        <w:top w:val="none" w:sz="0" w:space="0" w:color="auto"/>
        <w:left w:val="none" w:sz="0" w:space="0" w:color="auto"/>
        <w:bottom w:val="none" w:sz="0" w:space="0" w:color="auto"/>
        <w:right w:val="none" w:sz="0" w:space="0" w:color="auto"/>
      </w:divBdr>
    </w:div>
    <w:div w:id="1473254779">
      <w:bodyDiv w:val="1"/>
      <w:marLeft w:val="0"/>
      <w:marRight w:val="0"/>
      <w:marTop w:val="0"/>
      <w:marBottom w:val="0"/>
      <w:divBdr>
        <w:top w:val="none" w:sz="0" w:space="0" w:color="auto"/>
        <w:left w:val="none" w:sz="0" w:space="0" w:color="auto"/>
        <w:bottom w:val="none" w:sz="0" w:space="0" w:color="auto"/>
        <w:right w:val="none" w:sz="0" w:space="0" w:color="auto"/>
      </w:divBdr>
    </w:div>
    <w:div w:id="1478305180">
      <w:bodyDiv w:val="1"/>
      <w:marLeft w:val="0"/>
      <w:marRight w:val="0"/>
      <w:marTop w:val="0"/>
      <w:marBottom w:val="0"/>
      <w:divBdr>
        <w:top w:val="none" w:sz="0" w:space="0" w:color="auto"/>
        <w:left w:val="none" w:sz="0" w:space="0" w:color="auto"/>
        <w:bottom w:val="none" w:sz="0" w:space="0" w:color="auto"/>
        <w:right w:val="none" w:sz="0" w:space="0" w:color="auto"/>
      </w:divBdr>
    </w:div>
    <w:div w:id="1479298032">
      <w:bodyDiv w:val="1"/>
      <w:marLeft w:val="0"/>
      <w:marRight w:val="0"/>
      <w:marTop w:val="0"/>
      <w:marBottom w:val="0"/>
      <w:divBdr>
        <w:top w:val="none" w:sz="0" w:space="0" w:color="auto"/>
        <w:left w:val="none" w:sz="0" w:space="0" w:color="auto"/>
        <w:bottom w:val="none" w:sz="0" w:space="0" w:color="auto"/>
        <w:right w:val="none" w:sz="0" w:space="0" w:color="auto"/>
      </w:divBdr>
    </w:div>
    <w:div w:id="1498620040">
      <w:bodyDiv w:val="1"/>
      <w:marLeft w:val="0"/>
      <w:marRight w:val="0"/>
      <w:marTop w:val="0"/>
      <w:marBottom w:val="0"/>
      <w:divBdr>
        <w:top w:val="none" w:sz="0" w:space="0" w:color="auto"/>
        <w:left w:val="none" w:sz="0" w:space="0" w:color="auto"/>
        <w:bottom w:val="none" w:sz="0" w:space="0" w:color="auto"/>
        <w:right w:val="none" w:sz="0" w:space="0" w:color="auto"/>
      </w:divBdr>
    </w:div>
    <w:div w:id="1515218508">
      <w:bodyDiv w:val="1"/>
      <w:marLeft w:val="0"/>
      <w:marRight w:val="0"/>
      <w:marTop w:val="0"/>
      <w:marBottom w:val="0"/>
      <w:divBdr>
        <w:top w:val="none" w:sz="0" w:space="0" w:color="auto"/>
        <w:left w:val="none" w:sz="0" w:space="0" w:color="auto"/>
        <w:bottom w:val="none" w:sz="0" w:space="0" w:color="auto"/>
        <w:right w:val="none" w:sz="0" w:space="0" w:color="auto"/>
      </w:divBdr>
    </w:div>
    <w:div w:id="1521165318">
      <w:bodyDiv w:val="1"/>
      <w:marLeft w:val="0"/>
      <w:marRight w:val="0"/>
      <w:marTop w:val="0"/>
      <w:marBottom w:val="0"/>
      <w:divBdr>
        <w:top w:val="none" w:sz="0" w:space="0" w:color="auto"/>
        <w:left w:val="none" w:sz="0" w:space="0" w:color="auto"/>
        <w:bottom w:val="none" w:sz="0" w:space="0" w:color="auto"/>
        <w:right w:val="none" w:sz="0" w:space="0" w:color="auto"/>
      </w:divBdr>
    </w:div>
    <w:div w:id="1527983679">
      <w:bodyDiv w:val="1"/>
      <w:marLeft w:val="0"/>
      <w:marRight w:val="0"/>
      <w:marTop w:val="0"/>
      <w:marBottom w:val="0"/>
      <w:divBdr>
        <w:top w:val="none" w:sz="0" w:space="0" w:color="auto"/>
        <w:left w:val="none" w:sz="0" w:space="0" w:color="auto"/>
        <w:bottom w:val="none" w:sz="0" w:space="0" w:color="auto"/>
        <w:right w:val="none" w:sz="0" w:space="0" w:color="auto"/>
      </w:divBdr>
    </w:div>
    <w:div w:id="1570651780">
      <w:bodyDiv w:val="1"/>
      <w:marLeft w:val="0"/>
      <w:marRight w:val="0"/>
      <w:marTop w:val="0"/>
      <w:marBottom w:val="0"/>
      <w:divBdr>
        <w:top w:val="none" w:sz="0" w:space="0" w:color="auto"/>
        <w:left w:val="none" w:sz="0" w:space="0" w:color="auto"/>
        <w:bottom w:val="none" w:sz="0" w:space="0" w:color="auto"/>
        <w:right w:val="none" w:sz="0" w:space="0" w:color="auto"/>
      </w:divBdr>
    </w:div>
    <w:div w:id="1597900814">
      <w:bodyDiv w:val="1"/>
      <w:marLeft w:val="0"/>
      <w:marRight w:val="0"/>
      <w:marTop w:val="0"/>
      <w:marBottom w:val="0"/>
      <w:divBdr>
        <w:top w:val="none" w:sz="0" w:space="0" w:color="auto"/>
        <w:left w:val="none" w:sz="0" w:space="0" w:color="auto"/>
        <w:bottom w:val="none" w:sz="0" w:space="0" w:color="auto"/>
        <w:right w:val="none" w:sz="0" w:space="0" w:color="auto"/>
      </w:divBdr>
    </w:div>
    <w:div w:id="1598054944">
      <w:bodyDiv w:val="1"/>
      <w:marLeft w:val="0"/>
      <w:marRight w:val="0"/>
      <w:marTop w:val="0"/>
      <w:marBottom w:val="0"/>
      <w:divBdr>
        <w:top w:val="none" w:sz="0" w:space="0" w:color="auto"/>
        <w:left w:val="none" w:sz="0" w:space="0" w:color="auto"/>
        <w:bottom w:val="none" w:sz="0" w:space="0" w:color="auto"/>
        <w:right w:val="none" w:sz="0" w:space="0" w:color="auto"/>
      </w:divBdr>
    </w:div>
    <w:div w:id="1607347736">
      <w:bodyDiv w:val="1"/>
      <w:marLeft w:val="0"/>
      <w:marRight w:val="0"/>
      <w:marTop w:val="0"/>
      <w:marBottom w:val="0"/>
      <w:divBdr>
        <w:top w:val="none" w:sz="0" w:space="0" w:color="auto"/>
        <w:left w:val="none" w:sz="0" w:space="0" w:color="auto"/>
        <w:bottom w:val="none" w:sz="0" w:space="0" w:color="auto"/>
        <w:right w:val="none" w:sz="0" w:space="0" w:color="auto"/>
      </w:divBdr>
    </w:div>
    <w:div w:id="1731075183">
      <w:bodyDiv w:val="1"/>
      <w:marLeft w:val="0"/>
      <w:marRight w:val="0"/>
      <w:marTop w:val="0"/>
      <w:marBottom w:val="0"/>
      <w:divBdr>
        <w:top w:val="none" w:sz="0" w:space="0" w:color="auto"/>
        <w:left w:val="none" w:sz="0" w:space="0" w:color="auto"/>
        <w:bottom w:val="none" w:sz="0" w:space="0" w:color="auto"/>
        <w:right w:val="none" w:sz="0" w:space="0" w:color="auto"/>
      </w:divBdr>
    </w:div>
    <w:div w:id="1735732814">
      <w:bodyDiv w:val="1"/>
      <w:marLeft w:val="0"/>
      <w:marRight w:val="0"/>
      <w:marTop w:val="0"/>
      <w:marBottom w:val="0"/>
      <w:divBdr>
        <w:top w:val="none" w:sz="0" w:space="0" w:color="auto"/>
        <w:left w:val="none" w:sz="0" w:space="0" w:color="auto"/>
        <w:bottom w:val="none" w:sz="0" w:space="0" w:color="auto"/>
        <w:right w:val="none" w:sz="0" w:space="0" w:color="auto"/>
      </w:divBdr>
    </w:div>
    <w:div w:id="1738893706">
      <w:bodyDiv w:val="1"/>
      <w:marLeft w:val="0"/>
      <w:marRight w:val="0"/>
      <w:marTop w:val="0"/>
      <w:marBottom w:val="0"/>
      <w:divBdr>
        <w:top w:val="none" w:sz="0" w:space="0" w:color="auto"/>
        <w:left w:val="none" w:sz="0" w:space="0" w:color="auto"/>
        <w:bottom w:val="none" w:sz="0" w:space="0" w:color="auto"/>
        <w:right w:val="none" w:sz="0" w:space="0" w:color="auto"/>
      </w:divBdr>
    </w:div>
    <w:div w:id="1743529112">
      <w:bodyDiv w:val="1"/>
      <w:marLeft w:val="0"/>
      <w:marRight w:val="0"/>
      <w:marTop w:val="0"/>
      <w:marBottom w:val="0"/>
      <w:divBdr>
        <w:top w:val="none" w:sz="0" w:space="0" w:color="auto"/>
        <w:left w:val="none" w:sz="0" w:space="0" w:color="auto"/>
        <w:bottom w:val="none" w:sz="0" w:space="0" w:color="auto"/>
        <w:right w:val="none" w:sz="0" w:space="0" w:color="auto"/>
      </w:divBdr>
    </w:div>
    <w:div w:id="1773167851">
      <w:bodyDiv w:val="1"/>
      <w:marLeft w:val="0"/>
      <w:marRight w:val="0"/>
      <w:marTop w:val="0"/>
      <w:marBottom w:val="0"/>
      <w:divBdr>
        <w:top w:val="none" w:sz="0" w:space="0" w:color="auto"/>
        <w:left w:val="none" w:sz="0" w:space="0" w:color="auto"/>
        <w:bottom w:val="none" w:sz="0" w:space="0" w:color="auto"/>
        <w:right w:val="none" w:sz="0" w:space="0" w:color="auto"/>
      </w:divBdr>
    </w:div>
    <w:div w:id="1840389244">
      <w:bodyDiv w:val="1"/>
      <w:marLeft w:val="0"/>
      <w:marRight w:val="0"/>
      <w:marTop w:val="0"/>
      <w:marBottom w:val="0"/>
      <w:divBdr>
        <w:top w:val="none" w:sz="0" w:space="0" w:color="auto"/>
        <w:left w:val="none" w:sz="0" w:space="0" w:color="auto"/>
        <w:bottom w:val="none" w:sz="0" w:space="0" w:color="auto"/>
        <w:right w:val="none" w:sz="0" w:space="0" w:color="auto"/>
      </w:divBdr>
    </w:div>
    <w:div w:id="1875267033">
      <w:bodyDiv w:val="1"/>
      <w:marLeft w:val="0"/>
      <w:marRight w:val="0"/>
      <w:marTop w:val="0"/>
      <w:marBottom w:val="0"/>
      <w:divBdr>
        <w:top w:val="none" w:sz="0" w:space="0" w:color="auto"/>
        <w:left w:val="none" w:sz="0" w:space="0" w:color="auto"/>
        <w:bottom w:val="none" w:sz="0" w:space="0" w:color="auto"/>
        <w:right w:val="none" w:sz="0" w:space="0" w:color="auto"/>
      </w:divBdr>
    </w:div>
    <w:div w:id="1877623401">
      <w:bodyDiv w:val="1"/>
      <w:marLeft w:val="0"/>
      <w:marRight w:val="0"/>
      <w:marTop w:val="0"/>
      <w:marBottom w:val="0"/>
      <w:divBdr>
        <w:top w:val="none" w:sz="0" w:space="0" w:color="auto"/>
        <w:left w:val="none" w:sz="0" w:space="0" w:color="auto"/>
        <w:bottom w:val="none" w:sz="0" w:space="0" w:color="auto"/>
        <w:right w:val="none" w:sz="0" w:space="0" w:color="auto"/>
      </w:divBdr>
    </w:div>
    <w:div w:id="1879509017">
      <w:bodyDiv w:val="1"/>
      <w:marLeft w:val="0"/>
      <w:marRight w:val="0"/>
      <w:marTop w:val="0"/>
      <w:marBottom w:val="0"/>
      <w:divBdr>
        <w:top w:val="none" w:sz="0" w:space="0" w:color="auto"/>
        <w:left w:val="none" w:sz="0" w:space="0" w:color="auto"/>
        <w:bottom w:val="none" w:sz="0" w:space="0" w:color="auto"/>
        <w:right w:val="none" w:sz="0" w:space="0" w:color="auto"/>
      </w:divBdr>
    </w:div>
    <w:div w:id="1916551628">
      <w:bodyDiv w:val="1"/>
      <w:marLeft w:val="0"/>
      <w:marRight w:val="0"/>
      <w:marTop w:val="0"/>
      <w:marBottom w:val="0"/>
      <w:divBdr>
        <w:top w:val="none" w:sz="0" w:space="0" w:color="auto"/>
        <w:left w:val="none" w:sz="0" w:space="0" w:color="auto"/>
        <w:bottom w:val="none" w:sz="0" w:space="0" w:color="auto"/>
        <w:right w:val="none" w:sz="0" w:space="0" w:color="auto"/>
      </w:divBdr>
    </w:div>
    <w:div w:id="1919090747">
      <w:bodyDiv w:val="1"/>
      <w:marLeft w:val="0"/>
      <w:marRight w:val="0"/>
      <w:marTop w:val="0"/>
      <w:marBottom w:val="0"/>
      <w:divBdr>
        <w:top w:val="none" w:sz="0" w:space="0" w:color="auto"/>
        <w:left w:val="none" w:sz="0" w:space="0" w:color="auto"/>
        <w:bottom w:val="none" w:sz="0" w:space="0" w:color="auto"/>
        <w:right w:val="none" w:sz="0" w:space="0" w:color="auto"/>
      </w:divBdr>
    </w:div>
    <w:div w:id="1964847195">
      <w:bodyDiv w:val="1"/>
      <w:marLeft w:val="0"/>
      <w:marRight w:val="0"/>
      <w:marTop w:val="0"/>
      <w:marBottom w:val="0"/>
      <w:divBdr>
        <w:top w:val="none" w:sz="0" w:space="0" w:color="auto"/>
        <w:left w:val="none" w:sz="0" w:space="0" w:color="auto"/>
        <w:bottom w:val="none" w:sz="0" w:space="0" w:color="auto"/>
        <w:right w:val="none" w:sz="0" w:space="0" w:color="auto"/>
      </w:divBdr>
    </w:div>
    <w:div w:id="1991787337">
      <w:bodyDiv w:val="1"/>
      <w:marLeft w:val="0"/>
      <w:marRight w:val="0"/>
      <w:marTop w:val="0"/>
      <w:marBottom w:val="0"/>
      <w:divBdr>
        <w:top w:val="none" w:sz="0" w:space="0" w:color="auto"/>
        <w:left w:val="none" w:sz="0" w:space="0" w:color="auto"/>
        <w:bottom w:val="none" w:sz="0" w:space="0" w:color="auto"/>
        <w:right w:val="none" w:sz="0" w:space="0" w:color="auto"/>
      </w:divBdr>
    </w:div>
    <w:div w:id="2090616576">
      <w:bodyDiv w:val="1"/>
      <w:marLeft w:val="0"/>
      <w:marRight w:val="0"/>
      <w:marTop w:val="0"/>
      <w:marBottom w:val="0"/>
      <w:divBdr>
        <w:top w:val="none" w:sz="0" w:space="0" w:color="auto"/>
        <w:left w:val="none" w:sz="0" w:space="0" w:color="auto"/>
        <w:bottom w:val="none" w:sz="0" w:space="0" w:color="auto"/>
        <w:right w:val="none" w:sz="0" w:space="0" w:color="auto"/>
      </w:divBdr>
    </w:div>
    <w:div w:id="2139762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9.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DD2DE41F6203346856326E91AA82431" ma:contentTypeVersion="7" ma:contentTypeDescription="Create a new document." ma:contentTypeScope="" ma:versionID="6ca82a41d183d1ffa32a92096bdc94ab">
  <xsd:schema xmlns:xsd="http://www.w3.org/2001/XMLSchema" xmlns:xs="http://www.w3.org/2001/XMLSchema" xmlns:p="http://schemas.microsoft.com/office/2006/metadata/properties" xmlns:ns2="0fc10596-915e-4482-802b-42073deb5209" xmlns:ns3="75e92fe9-7a17-4024-b7ec-680edb99e17c" targetNamespace="http://schemas.microsoft.com/office/2006/metadata/properties" ma:root="true" ma:fieldsID="c8e777a4b9a244efcb96dfa27048a917" ns2:_="" ns3:_="">
    <xsd:import namespace="0fc10596-915e-4482-802b-42073deb5209"/>
    <xsd:import namespace="75e92fe9-7a17-4024-b7ec-680edb99e17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c10596-915e-4482-802b-42073deb52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e92fe9-7a17-4024-b7ec-680edb99e17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75e92fe9-7a17-4024-b7ec-680edb99e17c">
      <UserInfo>
        <DisplayName/>
        <AccountId xsi:nil="true"/>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B30EBE-8974-4918-B229-BEB931BEE396}">
  <ds:schemaRefs>
    <ds:schemaRef ds:uri="http://schemas.microsoft.com/sharepoint/v3/contenttype/forms"/>
  </ds:schemaRefs>
</ds:datastoreItem>
</file>

<file path=customXml/itemProps2.xml><?xml version="1.0" encoding="utf-8"?>
<ds:datastoreItem xmlns:ds="http://schemas.openxmlformats.org/officeDocument/2006/customXml" ds:itemID="{A56B935E-E609-4892-9FF1-31BEAA5927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c10596-915e-4482-802b-42073deb5209"/>
    <ds:schemaRef ds:uri="75e92fe9-7a17-4024-b7ec-680edb99e1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B9B586A-564F-4C8F-9522-0E0DF304E32A}">
  <ds:schemaRefs>
    <ds:schemaRef ds:uri="http://purl.org/dc/dcmitype/"/>
    <ds:schemaRef ds:uri="http://purl.org/dc/terms/"/>
    <ds:schemaRef ds:uri="http://schemas.microsoft.com/office/2006/documentManagement/types"/>
    <ds:schemaRef ds:uri="b39c4147-9a44-4571-a897-8648c175c6a2"/>
    <ds:schemaRef ds:uri="http://schemas.microsoft.com/office/2006/metadata/properties"/>
    <ds:schemaRef ds:uri="http://purl.org/dc/elements/1.1/"/>
    <ds:schemaRef ds:uri="http://www.w3.org/XML/1998/namespace"/>
    <ds:schemaRef ds:uri="http://schemas.microsoft.com/office/infopath/2007/PartnerControls"/>
    <ds:schemaRef ds:uri="http://schemas.openxmlformats.org/package/2006/metadata/core-properties"/>
    <ds:schemaRef ds:uri="07ae639f-04cb-4c06-bea9-f0f8a4262740"/>
    <ds:schemaRef ds:uri="75e92fe9-7a17-4024-b7ec-680edb99e17c"/>
  </ds:schemaRefs>
</ds:datastoreItem>
</file>

<file path=customXml/itemProps4.xml><?xml version="1.0" encoding="utf-8"?>
<ds:datastoreItem xmlns:ds="http://schemas.openxmlformats.org/officeDocument/2006/customXml" ds:itemID="{74A8C98B-ABA2-493E-99B9-CAB44CCCA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412</TotalTime>
  <Pages>17</Pages>
  <Words>4842</Words>
  <Characters>27167</Characters>
  <Application>Microsoft Office Word</Application>
  <DocSecurity>0</DocSecurity>
  <Lines>905</Lines>
  <Paragraphs>336</Paragraphs>
  <ScaleCrop>false</ScaleCrop>
  <HeadingPairs>
    <vt:vector size="2" baseType="variant">
      <vt:variant>
        <vt:lpstr>Title</vt:lpstr>
      </vt:variant>
      <vt:variant>
        <vt:i4>1</vt:i4>
      </vt:variant>
    </vt:vector>
  </HeadingPairs>
  <TitlesOfParts>
    <vt:vector size="1" baseType="lpstr">
      <vt:lpstr/>
    </vt:vector>
  </TitlesOfParts>
  <Company>London Borough of Harrow</Company>
  <LinksUpToDate>false</LinksUpToDate>
  <CharactersWithSpaces>31673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kbisal</dc:creator>
  <cp:keywords>Demography Report</cp:keywords>
  <cp:lastModifiedBy>Andrew Seaman5</cp:lastModifiedBy>
  <cp:revision>155</cp:revision>
  <dcterms:created xsi:type="dcterms:W3CDTF">2023-11-14T09:46:00Z</dcterms:created>
  <dcterms:modified xsi:type="dcterms:W3CDTF">2023-12-07T17:02:00Z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0x0101000DD2DE41F6203346856326E91AA82431</vt:lpwstr>
  </property>
  <property fmtid="{D5CDD505-2E9C-101B-9397-08002B2CF9AE}" pid="3" name="TaxKeyword">
    <vt:lpwstr>3;#Demography Report|a3455282-8811-4f8e-ae59-a86878fd1bf4</vt:lpwstr>
  </property>
  <property fmtid="{D5CDD505-2E9C-101B-9397-08002B2CF9AE}" pid="4" name="Protective Marking">
    <vt:lpwstr>OFFICIAL</vt:lpwstr>
  </property>
  <property fmtid="{D5CDD505-2E9C-101B-9397-08002B2CF9AE}" pid="5" name="MediaServiceImageTags">
    <vt:lpwstr/>
  </property>
  <property fmtid="{D5CDD505-2E9C-101B-9397-08002B2CF9AE}" pid="6" name="Order">
    <vt:r8>7229900</vt:r8>
  </property>
  <property fmtid="{D5CDD505-2E9C-101B-9397-08002B2CF9AE}" pid="7" name="xd_Signature">
    <vt:bool>false</vt:bool>
  </property>
  <property fmtid="{D5CDD505-2E9C-101B-9397-08002B2CF9AE}" pid="8" name="xd_ProgID">
    <vt:lpwstr/>
  </property>
  <property fmtid="{D5CDD505-2E9C-101B-9397-08002B2CF9AE}" pid="9" name="_ExtendedDescription">
    <vt:lpwstr/>
  </property>
  <property fmtid="{D5CDD505-2E9C-101B-9397-08002B2CF9AE}" pid="10" name="TriggerFlowInfo">
    <vt:lpwstr/>
  </property>
  <property fmtid="{D5CDD505-2E9C-101B-9397-08002B2CF9AE}" pid="11" name="ComplianceAssetId">
    <vt:lpwstr/>
  </property>
  <property fmtid="{D5CDD505-2E9C-101B-9397-08002B2CF9AE}" pid="12" name="TemplateUrl">
    <vt:lpwstr/>
  </property>
  <property fmtid="{D5CDD505-2E9C-101B-9397-08002B2CF9AE}" pid="13" name="_SourceUrl">
    <vt:lpwstr/>
  </property>
  <property fmtid="{D5CDD505-2E9C-101B-9397-08002B2CF9AE}" pid="14" name="_SharedFileIndex">
    <vt:lpwstr/>
  </property>
</Properties>
</file>